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AD" w:rsidRPr="00CB4BAD" w:rsidRDefault="00CB4BAD" w:rsidP="00CB4BAD">
      <w:pPr>
        <w:snapToGrid w:val="0"/>
        <w:spacing w:line="600" w:lineRule="exact"/>
        <w:outlineLvl w:val="1"/>
        <w:rPr>
          <w:b/>
          <w:sz w:val="24"/>
        </w:rPr>
      </w:pPr>
      <w:bookmarkStart w:id="0" w:name="_Toc493765665"/>
      <w:r w:rsidRPr="00CB4BAD">
        <w:rPr>
          <w:rFonts w:hint="eastAsia"/>
          <w:b/>
          <w:sz w:val="24"/>
        </w:rPr>
        <w:t>附件</w:t>
      </w:r>
      <w:r w:rsidR="00C36412">
        <w:rPr>
          <w:rFonts w:hint="eastAsia"/>
          <w:b/>
          <w:sz w:val="24"/>
          <w:lang w:eastAsia="zh-HK"/>
        </w:rPr>
        <w:t>二</w:t>
      </w:r>
      <w:r w:rsidRPr="00CB4BAD">
        <w:rPr>
          <w:rFonts w:hint="eastAsia"/>
          <w:b/>
          <w:sz w:val="24"/>
        </w:rPr>
        <w:t>：論文格式說明</w:t>
      </w:r>
      <w:bookmarkEnd w:id="0"/>
      <w:r w:rsidR="00812B67">
        <w:rPr>
          <w:rFonts w:hint="eastAsia"/>
          <w:b/>
          <w:sz w:val="24"/>
          <w:lang w:eastAsia="zh-HK"/>
        </w:rPr>
        <w:t>與範例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jc w:val="center"/>
        <w:rPr>
          <w:b/>
          <w:szCs w:val="32"/>
        </w:rPr>
      </w:pPr>
      <w:r w:rsidRPr="00CB4BAD">
        <w:rPr>
          <w:rFonts w:hint="eastAsia"/>
          <w:b/>
          <w:szCs w:val="32"/>
        </w:rPr>
        <w:t>2019</w:t>
      </w:r>
      <w:r w:rsidR="0018356C">
        <w:rPr>
          <w:rFonts w:hint="eastAsia"/>
          <w:b/>
          <w:szCs w:val="32"/>
        </w:rPr>
        <w:t>「</w:t>
      </w:r>
      <w:r w:rsidRPr="00CB4BAD">
        <w:rPr>
          <w:rFonts w:hint="eastAsia"/>
          <w:b/>
          <w:szCs w:val="32"/>
        </w:rPr>
        <w:t>多元族群教育與文化回應教學</w:t>
      </w:r>
      <w:r w:rsidR="0018356C">
        <w:rPr>
          <w:rFonts w:hint="eastAsia"/>
          <w:b/>
          <w:szCs w:val="32"/>
        </w:rPr>
        <w:t>」</w:t>
      </w:r>
      <w:bookmarkStart w:id="1" w:name="_GoBack"/>
      <w:bookmarkEnd w:id="1"/>
      <w:r w:rsidRPr="00CB4BAD">
        <w:rPr>
          <w:rFonts w:hint="eastAsia"/>
          <w:b/>
          <w:szCs w:val="32"/>
        </w:rPr>
        <w:t>國際學術研討會</w:t>
      </w:r>
      <w:r w:rsidR="00CD0007">
        <w:rPr>
          <w:rFonts w:hint="eastAsia"/>
          <w:b/>
          <w:szCs w:val="32"/>
          <w:lang w:eastAsia="zh-HK"/>
        </w:rPr>
        <w:t>論文</w:t>
      </w:r>
      <w:r w:rsidRPr="00CB4BAD">
        <w:rPr>
          <w:b/>
          <w:szCs w:val="32"/>
        </w:rPr>
        <w:t>格式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leftChars="200" w:left="640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Paper Format for</w:t>
      </w:r>
      <w:r w:rsidRPr="00CB4BAD">
        <w:t xml:space="preserve"> </w:t>
      </w:r>
      <w:r w:rsidRPr="00CB4BAD">
        <w:rPr>
          <w:b/>
          <w:sz w:val="28"/>
          <w:szCs w:val="28"/>
        </w:rPr>
        <w:t xml:space="preserve">The International Symposium of Multiethnic </w:t>
      </w:r>
      <w:proofErr w:type="gramStart"/>
      <w:r w:rsidRPr="00CB4BAD">
        <w:rPr>
          <w:b/>
          <w:sz w:val="28"/>
          <w:szCs w:val="28"/>
        </w:rPr>
        <w:t>Education  and</w:t>
      </w:r>
      <w:proofErr w:type="gramEnd"/>
      <w:r w:rsidRPr="00CB4BAD">
        <w:rPr>
          <w:b/>
          <w:sz w:val="28"/>
          <w:szCs w:val="28"/>
        </w:rPr>
        <w:t xml:space="preserve"> Culturally Responsive Teaching in Taiwan, 2019</w:t>
      </w:r>
    </w:p>
    <w:p w:rsidR="00CB4BAD" w:rsidRPr="00CB4BAD" w:rsidRDefault="00CB4BAD" w:rsidP="00CB4BAD">
      <w:pPr>
        <w:snapToGrid w:val="0"/>
        <w:spacing w:beforeLines="100" w:before="435" w:afterLines="50" w:after="217" w:line="240" w:lineRule="atLeast"/>
        <w:jc w:val="center"/>
        <w:rPr>
          <w:bCs/>
          <w:sz w:val="22"/>
          <w:szCs w:val="22"/>
        </w:rPr>
      </w:pPr>
      <w:r w:rsidRPr="00CB4BAD">
        <w:rPr>
          <w:rFonts w:hint="eastAsia"/>
          <w:bCs/>
          <w:sz w:val="22"/>
          <w:szCs w:val="22"/>
        </w:rPr>
        <w:t>熊同鑫</w:t>
      </w:r>
      <w:r w:rsidRPr="00CB4BAD">
        <w:rPr>
          <w:bCs/>
          <w:sz w:val="22"/>
          <w:szCs w:val="22"/>
        </w:rPr>
        <w:t xml:space="preserve"> Tung-</w:t>
      </w:r>
      <w:proofErr w:type="spellStart"/>
      <w:r w:rsidRPr="00CB4BAD">
        <w:rPr>
          <w:bCs/>
          <w:sz w:val="22"/>
          <w:szCs w:val="22"/>
        </w:rPr>
        <w:t>Hsing</w:t>
      </w:r>
      <w:proofErr w:type="spellEnd"/>
      <w:r w:rsidRPr="00CB4BAD">
        <w:rPr>
          <w:bCs/>
          <w:sz w:val="22"/>
          <w:szCs w:val="22"/>
        </w:rPr>
        <w:t xml:space="preserve"> </w:t>
      </w:r>
      <w:proofErr w:type="spellStart"/>
      <w:r w:rsidRPr="00CB4BAD">
        <w:rPr>
          <w:bCs/>
          <w:sz w:val="22"/>
          <w:szCs w:val="22"/>
        </w:rPr>
        <w:t>Hsiung</w:t>
      </w:r>
      <w:proofErr w:type="spellEnd"/>
      <w:r w:rsidRPr="00CB4BAD">
        <w:rPr>
          <w:bCs/>
          <w:sz w:val="22"/>
          <w:szCs w:val="22"/>
        </w:rPr>
        <w:t xml:space="preserve"> </w:t>
      </w:r>
      <w:r w:rsidRPr="00CB4BAD">
        <w:rPr>
          <w:bCs/>
          <w:sz w:val="22"/>
          <w:szCs w:val="22"/>
          <w:vertAlign w:val="superscript"/>
        </w:rPr>
        <w:footnoteReference w:id="1"/>
      </w:r>
    </w:p>
    <w:p w:rsidR="00CB4BAD" w:rsidRPr="00CB4BAD" w:rsidRDefault="00CB4BAD" w:rsidP="00CB4BAD">
      <w:pPr>
        <w:snapToGrid w:val="0"/>
        <w:spacing w:beforeLines="50" w:before="217" w:afterLines="50" w:after="217" w:line="240" w:lineRule="atLeast"/>
        <w:jc w:val="center"/>
        <w:rPr>
          <w:bCs/>
          <w:sz w:val="22"/>
          <w:szCs w:val="22"/>
        </w:rPr>
      </w:pPr>
      <w:r w:rsidRPr="00CB4BAD">
        <w:rPr>
          <w:rFonts w:hint="eastAsia"/>
          <w:bCs/>
          <w:sz w:val="22"/>
          <w:szCs w:val="22"/>
        </w:rPr>
        <w:t>陳淑芳</w:t>
      </w:r>
      <w:r w:rsidRPr="00CB4BAD">
        <w:rPr>
          <w:bCs/>
          <w:sz w:val="22"/>
          <w:szCs w:val="22"/>
        </w:rPr>
        <w:t xml:space="preserve"> Shu-Fang Chen </w:t>
      </w:r>
      <w:r w:rsidRPr="00CB4BAD">
        <w:rPr>
          <w:bCs/>
          <w:sz w:val="22"/>
          <w:szCs w:val="22"/>
          <w:vertAlign w:val="superscript"/>
        </w:rPr>
        <w:footnoteReference w:id="2"/>
      </w:r>
    </w:p>
    <w:p w:rsidR="00CB4BAD" w:rsidRPr="00CB4BAD" w:rsidRDefault="00CB4BAD" w:rsidP="00CB4BAD">
      <w:pPr>
        <w:snapToGrid w:val="0"/>
        <w:spacing w:beforeLines="100" w:before="435" w:afterLines="50" w:after="217" w:line="360" w:lineRule="atLeast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摘要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exac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本文係</w:t>
      </w:r>
      <w:r w:rsidR="006A4E3D" w:rsidRPr="006A4E3D">
        <w:rPr>
          <w:rFonts w:hint="eastAsia"/>
          <w:sz w:val="22"/>
          <w:szCs w:val="22"/>
        </w:rPr>
        <w:t>臺北市立大學教育學系</w:t>
      </w:r>
      <w:r w:rsidRPr="00CB4BAD">
        <w:rPr>
          <w:rFonts w:hint="eastAsia"/>
          <w:sz w:val="22"/>
          <w:szCs w:val="22"/>
        </w:rPr>
        <w:t>承</w:t>
      </w:r>
      <w:r w:rsidRPr="00CB4BAD">
        <w:rPr>
          <w:sz w:val="22"/>
          <w:szCs w:val="22"/>
        </w:rPr>
        <w:t>辦之</w:t>
      </w:r>
      <w:r w:rsidR="00C36412">
        <w:rPr>
          <w:rFonts w:hint="eastAsia"/>
          <w:sz w:val="22"/>
          <w:szCs w:val="22"/>
        </w:rPr>
        <w:t>「</w:t>
      </w:r>
      <w:r w:rsidR="006A4E3D" w:rsidRPr="006A4E3D">
        <w:rPr>
          <w:rFonts w:hint="eastAsia"/>
          <w:sz w:val="22"/>
          <w:szCs w:val="22"/>
        </w:rPr>
        <w:t>2019</w:t>
      </w:r>
      <w:r w:rsidR="00C36412">
        <w:rPr>
          <w:rFonts w:hint="eastAsia"/>
          <w:sz w:val="22"/>
          <w:szCs w:val="22"/>
          <w:lang w:eastAsia="zh-HK"/>
        </w:rPr>
        <w:t>年</w:t>
      </w:r>
      <w:r w:rsidR="006A4E3D" w:rsidRPr="006A4E3D">
        <w:rPr>
          <w:rFonts w:hint="eastAsia"/>
          <w:sz w:val="22"/>
          <w:szCs w:val="22"/>
        </w:rPr>
        <w:t>多元族群教育與文化回應教學國際學術研討會</w:t>
      </w:r>
      <w:r w:rsidRPr="00CB4BAD">
        <w:rPr>
          <w:sz w:val="22"/>
          <w:szCs w:val="22"/>
        </w:rPr>
        <w:t>」完稿排版格式說明，煩請投稿者務必依照本格式進行編排，若未依規定進行排版者，將</w:t>
      </w:r>
      <w:r w:rsidRPr="00CB4BAD">
        <w:rPr>
          <w:rFonts w:hint="eastAsia"/>
          <w:sz w:val="22"/>
          <w:szCs w:val="22"/>
        </w:rPr>
        <w:t>退回稿</w:t>
      </w:r>
      <w:r w:rsidRPr="00CB4BAD">
        <w:rPr>
          <w:sz w:val="22"/>
          <w:szCs w:val="22"/>
        </w:rPr>
        <w:t>件修正後再審。本研討會鼓勵作者於投稿時，即根據本論文格式說明之編排方式，進行完稿編排</w:t>
      </w:r>
      <w:r w:rsidRPr="00CB4BAD">
        <w:rPr>
          <w:b/>
          <w:sz w:val="22"/>
          <w:szCs w:val="22"/>
        </w:rPr>
        <w:t>，請注意全文長度</w:t>
      </w:r>
      <w:r w:rsidRPr="00CB4BAD">
        <w:rPr>
          <w:rFonts w:hint="eastAsia"/>
          <w:b/>
          <w:sz w:val="22"/>
          <w:szCs w:val="22"/>
        </w:rPr>
        <w:t>，</w:t>
      </w:r>
      <w:r w:rsidR="006A4E3D">
        <w:rPr>
          <w:rFonts w:hint="eastAsia"/>
          <w:b/>
          <w:sz w:val="22"/>
          <w:szCs w:val="22"/>
          <w:lang w:eastAsia="zh-HK"/>
        </w:rPr>
        <w:t>初稿</w:t>
      </w:r>
      <w:r w:rsidRPr="00CB4BAD">
        <w:rPr>
          <w:rFonts w:hint="eastAsia"/>
          <w:b/>
          <w:sz w:val="22"/>
          <w:szCs w:val="22"/>
        </w:rPr>
        <w:t>中文</w:t>
      </w:r>
      <w:proofErr w:type="gramStart"/>
      <w:r w:rsidRPr="00CB4BAD">
        <w:rPr>
          <w:rFonts w:hint="eastAsia"/>
          <w:b/>
          <w:sz w:val="22"/>
          <w:szCs w:val="22"/>
        </w:rPr>
        <w:t>勿</w:t>
      </w:r>
      <w:proofErr w:type="gramEnd"/>
      <w:r w:rsidRPr="00CB4BAD">
        <w:rPr>
          <w:rFonts w:hint="eastAsia"/>
          <w:b/>
          <w:sz w:val="22"/>
          <w:szCs w:val="22"/>
        </w:rPr>
        <w:t>超過</w:t>
      </w:r>
      <w:r w:rsidR="006A4E3D">
        <w:rPr>
          <w:rFonts w:hint="eastAsia"/>
          <w:b/>
          <w:sz w:val="22"/>
          <w:szCs w:val="22"/>
        </w:rPr>
        <w:t>1</w:t>
      </w:r>
      <w:r w:rsidRPr="00CB4BAD">
        <w:rPr>
          <w:rFonts w:hint="eastAsia"/>
          <w:b/>
          <w:sz w:val="22"/>
          <w:szCs w:val="22"/>
        </w:rPr>
        <w:t>500</w:t>
      </w:r>
      <w:r w:rsidRPr="00CB4BAD">
        <w:rPr>
          <w:rFonts w:hint="eastAsia"/>
          <w:b/>
          <w:sz w:val="22"/>
          <w:szCs w:val="22"/>
        </w:rPr>
        <w:t>字、英文</w:t>
      </w:r>
      <w:proofErr w:type="gramStart"/>
      <w:r w:rsidRPr="00CB4BAD">
        <w:rPr>
          <w:rFonts w:hint="eastAsia"/>
          <w:b/>
          <w:sz w:val="22"/>
          <w:szCs w:val="22"/>
        </w:rPr>
        <w:t>勿</w:t>
      </w:r>
      <w:proofErr w:type="gramEnd"/>
      <w:r w:rsidRPr="00CB4BAD">
        <w:rPr>
          <w:rFonts w:hint="eastAsia"/>
          <w:b/>
          <w:sz w:val="22"/>
          <w:szCs w:val="22"/>
        </w:rPr>
        <w:t>超過</w:t>
      </w:r>
      <w:r w:rsidR="006A4E3D">
        <w:rPr>
          <w:rFonts w:hint="eastAsia"/>
          <w:b/>
          <w:sz w:val="22"/>
          <w:szCs w:val="22"/>
        </w:rPr>
        <w:t>1</w:t>
      </w:r>
      <w:r w:rsidRPr="00CB4BAD">
        <w:rPr>
          <w:rFonts w:hint="eastAsia"/>
          <w:b/>
          <w:sz w:val="22"/>
          <w:szCs w:val="22"/>
        </w:rPr>
        <w:t>000</w:t>
      </w:r>
      <w:r w:rsidRPr="00CB4BAD">
        <w:rPr>
          <w:rFonts w:hint="eastAsia"/>
          <w:b/>
          <w:sz w:val="22"/>
          <w:szCs w:val="22"/>
        </w:rPr>
        <w:t>字（字數計算不包含</w:t>
      </w:r>
      <w:r w:rsidR="006A4E3D">
        <w:rPr>
          <w:rFonts w:hint="eastAsia"/>
          <w:b/>
          <w:sz w:val="22"/>
          <w:szCs w:val="22"/>
          <w:lang w:eastAsia="zh-HK"/>
        </w:rPr>
        <w:t>標題</w:t>
      </w:r>
      <w:r w:rsidR="006A4E3D">
        <w:rPr>
          <w:rFonts w:hint="eastAsia"/>
          <w:b/>
          <w:sz w:val="22"/>
          <w:szCs w:val="22"/>
        </w:rPr>
        <w:t>、</w:t>
      </w:r>
      <w:r w:rsidRPr="00CB4BAD">
        <w:rPr>
          <w:rFonts w:hint="eastAsia"/>
          <w:b/>
          <w:sz w:val="22"/>
          <w:szCs w:val="22"/>
        </w:rPr>
        <w:t>摘要及參考文獻）</w:t>
      </w:r>
      <w:r w:rsidR="006A4E3D">
        <w:rPr>
          <w:rFonts w:hint="eastAsia"/>
          <w:b/>
          <w:sz w:val="22"/>
          <w:szCs w:val="22"/>
        </w:rPr>
        <w:t>；</w:t>
      </w:r>
      <w:r w:rsidR="006A4E3D">
        <w:rPr>
          <w:rFonts w:hint="eastAsia"/>
          <w:b/>
          <w:sz w:val="22"/>
          <w:szCs w:val="22"/>
          <w:lang w:eastAsia="zh-HK"/>
        </w:rPr>
        <w:t>入選</w:t>
      </w:r>
      <w:proofErr w:type="gramStart"/>
      <w:r w:rsidR="006A4E3D">
        <w:rPr>
          <w:rFonts w:hint="eastAsia"/>
          <w:b/>
          <w:sz w:val="22"/>
          <w:szCs w:val="22"/>
          <w:lang w:eastAsia="zh-HK"/>
        </w:rPr>
        <w:t>複</w:t>
      </w:r>
      <w:proofErr w:type="gramEnd"/>
      <w:r w:rsidR="006A4E3D">
        <w:rPr>
          <w:rFonts w:hint="eastAsia"/>
          <w:b/>
          <w:sz w:val="22"/>
          <w:szCs w:val="22"/>
          <w:lang w:eastAsia="zh-HK"/>
        </w:rPr>
        <w:t>稿之精簡全論文</w:t>
      </w:r>
      <w:r w:rsidR="006A4E3D" w:rsidRPr="00CB4BAD">
        <w:rPr>
          <w:rFonts w:hint="eastAsia"/>
          <w:b/>
          <w:sz w:val="22"/>
          <w:szCs w:val="22"/>
        </w:rPr>
        <w:t>中文</w:t>
      </w:r>
      <w:proofErr w:type="gramStart"/>
      <w:r w:rsidR="006A4E3D" w:rsidRPr="00CB4BAD">
        <w:rPr>
          <w:rFonts w:hint="eastAsia"/>
          <w:b/>
          <w:sz w:val="22"/>
          <w:szCs w:val="22"/>
        </w:rPr>
        <w:t>勿</w:t>
      </w:r>
      <w:proofErr w:type="gramEnd"/>
      <w:r w:rsidR="006A4E3D" w:rsidRPr="00CB4BAD">
        <w:rPr>
          <w:rFonts w:hint="eastAsia"/>
          <w:b/>
          <w:sz w:val="22"/>
          <w:szCs w:val="22"/>
        </w:rPr>
        <w:t>超過</w:t>
      </w:r>
      <w:r w:rsidR="006A4E3D">
        <w:rPr>
          <w:rFonts w:hint="eastAsia"/>
          <w:b/>
          <w:sz w:val="22"/>
          <w:szCs w:val="22"/>
        </w:rPr>
        <w:t>8000</w:t>
      </w:r>
      <w:r w:rsidR="006A4E3D" w:rsidRPr="00CB4BAD">
        <w:rPr>
          <w:rFonts w:hint="eastAsia"/>
          <w:b/>
          <w:sz w:val="22"/>
          <w:szCs w:val="22"/>
        </w:rPr>
        <w:t>字、英文</w:t>
      </w:r>
      <w:proofErr w:type="gramStart"/>
      <w:r w:rsidR="006A4E3D" w:rsidRPr="00CB4BAD">
        <w:rPr>
          <w:rFonts w:hint="eastAsia"/>
          <w:b/>
          <w:sz w:val="22"/>
          <w:szCs w:val="22"/>
        </w:rPr>
        <w:t>勿</w:t>
      </w:r>
      <w:proofErr w:type="gramEnd"/>
      <w:r w:rsidR="006A4E3D" w:rsidRPr="00CB4BAD">
        <w:rPr>
          <w:rFonts w:hint="eastAsia"/>
          <w:b/>
          <w:sz w:val="22"/>
          <w:szCs w:val="22"/>
        </w:rPr>
        <w:t>超過</w:t>
      </w:r>
      <w:r w:rsidR="006A4E3D">
        <w:rPr>
          <w:rFonts w:hint="eastAsia"/>
          <w:b/>
          <w:sz w:val="22"/>
          <w:szCs w:val="22"/>
        </w:rPr>
        <w:t>5</w:t>
      </w:r>
      <w:r w:rsidR="006A4E3D" w:rsidRPr="00CB4BAD">
        <w:rPr>
          <w:rFonts w:hint="eastAsia"/>
          <w:b/>
          <w:sz w:val="22"/>
          <w:szCs w:val="22"/>
        </w:rPr>
        <w:t>000</w:t>
      </w:r>
      <w:r w:rsidR="006A4E3D" w:rsidRPr="00CB4BAD">
        <w:rPr>
          <w:rFonts w:hint="eastAsia"/>
          <w:b/>
          <w:sz w:val="22"/>
          <w:szCs w:val="22"/>
        </w:rPr>
        <w:t>字（字數計算不包含</w:t>
      </w:r>
      <w:r w:rsidR="006A4E3D">
        <w:rPr>
          <w:rFonts w:hint="eastAsia"/>
          <w:b/>
          <w:sz w:val="22"/>
          <w:szCs w:val="22"/>
          <w:lang w:eastAsia="zh-HK"/>
        </w:rPr>
        <w:t>標題</w:t>
      </w:r>
      <w:r w:rsidR="006A4E3D">
        <w:rPr>
          <w:rFonts w:hint="eastAsia"/>
          <w:b/>
          <w:sz w:val="22"/>
          <w:szCs w:val="22"/>
        </w:rPr>
        <w:t>、</w:t>
      </w:r>
      <w:r w:rsidR="006A4E3D" w:rsidRPr="00CB4BAD">
        <w:rPr>
          <w:rFonts w:hint="eastAsia"/>
          <w:b/>
          <w:sz w:val="22"/>
          <w:szCs w:val="22"/>
        </w:rPr>
        <w:t>摘要及參考文獻）</w:t>
      </w:r>
      <w:r w:rsidRPr="00CB4BAD">
        <w:rPr>
          <w:rFonts w:hint="eastAsia"/>
          <w:b/>
          <w:sz w:val="22"/>
          <w:szCs w:val="22"/>
        </w:rPr>
        <w:t>。以中文書寫者，需</w:t>
      </w:r>
      <w:proofErr w:type="gramStart"/>
      <w:r w:rsidRPr="00CB4BAD">
        <w:rPr>
          <w:rFonts w:hint="eastAsia"/>
          <w:b/>
          <w:sz w:val="22"/>
          <w:szCs w:val="22"/>
        </w:rPr>
        <w:t>併</w:t>
      </w:r>
      <w:proofErr w:type="gramEnd"/>
      <w:r w:rsidRPr="00CB4BAD">
        <w:rPr>
          <w:rFonts w:hint="eastAsia"/>
          <w:b/>
          <w:sz w:val="22"/>
          <w:szCs w:val="22"/>
        </w:rPr>
        <w:t>附英文摘要。</w:t>
      </w:r>
      <w:r w:rsidRPr="00CB4BAD">
        <w:rPr>
          <w:sz w:val="22"/>
          <w:szCs w:val="22"/>
        </w:rPr>
        <w:t>論文格式亦可見研討會網站。</w:t>
      </w:r>
      <w:r w:rsidRPr="00CB4BAD">
        <w:rPr>
          <w:sz w:val="22"/>
          <w:szCs w:val="22"/>
          <w:u w:val="single"/>
        </w:rPr>
        <w:t>亦可直接套用本檔案之範本</w:t>
      </w:r>
      <w:r w:rsidRPr="00CB4BAD">
        <w:rPr>
          <w:sz w:val="22"/>
          <w:szCs w:val="22"/>
        </w:rPr>
        <w:t>。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exact"/>
        <w:rPr>
          <w:sz w:val="22"/>
          <w:szCs w:val="22"/>
        </w:rPr>
      </w:pPr>
      <w:r w:rsidRPr="00CB4BAD">
        <w:rPr>
          <w:b/>
          <w:sz w:val="22"/>
          <w:szCs w:val="22"/>
        </w:rPr>
        <w:t>關鍵字：</w:t>
      </w:r>
      <w:r w:rsidRPr="00CB4BAD">
        <w:rPr>
          <w:sz w:val="22"/>
          <w:szCs w:val="22"/>
        </w:rPr>
        <w:t>研討會、論文格式</w:t>
      </w:r>
    </w:p>
    <w:p w:rsidR="00CB4BAD" w:rsidRPr="00CB4BAD" w:rsidRDefault="00CB4BAD" w:rsidP="00CB4BAD">
      <w:pPr>
        <w:snapToGrid w:val="0"/>
        <w:spacing w:beforeLines="100" w:before="435" w:afterLines="50" w:after="217" w:line="360" w:lineRule="atLeast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Abstract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exac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 xml:space="preserve">The abstract is to be at the left-hand column in 11 point Times New Roman as it is here, and below the Chinese abstract. Use the word “Abstract” as the title, in 14-point Times New Roman, and initially capitalized. 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exact"/>
        <w:ind w:left="1101" w:hangingChars="500" w:hanging="1101"/>
        <w:rPr>
          <w:sz w:val="22"/>
          <w:szCs w:val="22"/>
        </w:rPr>
      </w:pPr>
      <w:r w:rsidRPr="00CB4BAD">
        <w:rPr>
          <w:b/>
          <w:sz w:val="22"/>
          <w:szCs w:val="22"/>
        </w:rPr>
        <w:t>Keywords:</w:t>
      </w:r>
      <w:r w:rsidRPr="00CB4BAD">
        <w:rPr>
          <w:sz w:val="22"/>
          <w:szCs w:val="22"/>
        </w:rPr>
        <w:t xml:space="preserve"> Conference, Paper Format.</w:t>
      </w:r>
    </w:p>
    <w:p w:rsidR="00CB4BAD" w:rsidRPr="00CB4BAD" w:rsidRDefault="00CB4BAD" w:rsidP="00CB4BAD">
      <w:pPr>
        <w:snapToGrid w:val="0"/>
        <w:spacing w:beforeLines="100" w:before="435" w:afterLines="50" w:after="217" w:line="360" w:lineRule="atLeast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壹、前言</w:t>
      </w:r>
    </w:p>
    <w:p w:rsidR="00CB4BAD" w:rsidRPr="00CB4BAD" w:rsidRDefault="00CB4BAD" w:rsidP="00C23D9C">
      <w:pPr>
        <w:snapToGrid w:val="0"/>
        <w:spacing w:beforeLines="50" w:before="217" w:afterLines="50" w:after="217" w:line="360" w:lineRule="atLeast"/>
        <w:ind w:firstLineChars="200" w:firstLine="440"/>
        <w:rPr>
          <w:sz w:val="22"/>
          <w:szCs w:val="22"/>
        </w:rPr>
      </w:pPr>
      <w:r w:rsidRPr="00CB4BAD">
        <w:rPr>
          <w:sz w:val="22"/>
          <w:szCs w:val="22"/>
        </w:rPr>
        <w:t>本文說明研討會論文排版格式，已被接受的論文，煩請務必依照本格式編排。</w:t>
      </w:r>
      <w:r w:rsidR="00C23D9C">
        <w:rPr>
          <w:rFonts w:hint="eastAsia"/>
          <w:sz w:val="22"/>
          <w:szCs w:val="22"/>
          <w:lang w:eastAsia="zh-HK"/>
        </w:rPr>
        <w:t>初</w:t>
      </w:r>
      <w:r w:rsidRPr="00CB4BAD">
        <w:rPr>
          <w:sz w:val="22"/>
          <w:szCs w:val="22"/>
        </w:rPr>
        <w:t>稿</w:t>
      </w:r>
      <w:r w:rsidR="00C23D9C">
        <w:rPr>
          <w:rFonts w:hint="eastAsia"/>
          <w:sz w:val="22"/>
          <w:szCs w:val="22"/>
          <w:lang w:eastAsia="zh-HK"/>
        </w:rPr>
        <w:t>投</w:t>
      </w:r>
      <w:r w:rsidRPr="00CB4BAD">
        <w:rPr>
          <w:sz w:val="22"/>
          <w:szCs w:val="22"/>
        </w:rPr>
        <w:t>稿</w:t>
      </w:r>
      <w:r w:rsidR="00C23D9C">
        <w:rPr>
          <w:rFonts w:hint="eastAsia"/>
          <w:sz w:val="22"/>
          <w:szCs w:val="22"/>
          <w:lang w:eastAsia="zh-HK"/>
        </w:rPr>
        <w:t>稿</w:t>
      </w:r>
      <w:r w:rsidRPr="00CB4BAD">
        <w:rPr>
          <w:sz w:val="22"/>
          <w:szCs w:val="22"/>
        </w:rPr>
        <w:t>件並不一定需要按照本格式編排，惟作者若願意在</w:t>
      </w:r>
      <w:r w:rsidR="00C23D9C">
        <w:rPr>
          <w:rFonts w:hint="eastAsia"/>
          <w:sz w:val="22"/>
          <w:szCs w:val="22"/>
          <w:lang w:eastAsia="zh-HK"/>
        </w:rPr>
        <w:t>初</w:t>
      </w:r>
      <w:r w:rsidRPr="00CB4BAD">
        <w:rPr>
          <w:sz w:val="22"/>
          <w:szCs w:val="22"/>
        </w:rPr>
        <w:t>稿時即按照本格式之規範進行排版，將更有助於文稿的審查與後續相關作業。論文格式亦可見研討會網站</w:t>
      </w:r>
      <w:r w:rsidRPr="00CB4BAD">
        <w:rPr>
          <w:rFonts w:hint="eastAsia"/>
          <w:sz w:val="22"/>
          <w:szCs w:val="22"/>
        </w:rPr>
        <w:t>：</w:t>
      </w:r>
      <w:hyperlink r:id="rId8" w:history="1">
        <w:r w:rsidR="00C23D9C" w:rsidRPr="009D3730">
          <w:rPr>
            <w:rStyle w:val="a6"/>
            <w:sz w:val="22"/>
            <w:szCs w:val="22"/>
          </w:rPr>
          <w:t>http://210.240.179.19/2019</w:t>
        </w:r>
        <w:r w:rsidR="00C23D9C" w:rsidRPr="009D3730">
          <w:rPr>
            <w:rStyle w:val="a6"/>
            <w:rFonts w:hint="eastAsia"/>
            <w:sz w:val="22"/>
            <w:szCs w:val="22"/>
          </w:rPr>
          <w:t>MECRT</w:t>
        </w:r>
        <w:r w:rsidR="00C23D9C" w:rsidRPr="009D3730">
          <w:rPr>
            <w:rStyle w:val="a6"/>
            <w:sz w:val="22"/>
            <w:szCs w:val="22"/>
          </w:rPr>
          <w:t>/</w:t>
        </w:r>
      </w:hyperlink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lastRenderedPageBreak/>
        <w:t>完稿文章採用</w:t>
      </w:r>
      <w:r w:rsidRPr="00CB4BAD">
        <w:rPr>
          <w:sz w:val="22"/>
          <w:szCs w:val="22"/>
        </w:rPr>
        <w:t>A4</w:t>
      </w:r>
      <w:r w:rsidRPr="00CB4BAD">
        <w:rPr>
          <w:sz w:val="22"/>
          <w:szCs w:val="22"/>
        </w:rPr>
        <w:t>格式</w:t>
      </w:r>
      <w:r w:rsidRPr="00CB4BAD">
        <w:rPr>
          <w:sz w:val="22"/>
          <w:szCs w:val="22"/>
        </w:rPr>
        <w:t>(21.0 cm×29.7 cm)</w:t>
      </w:r>
      <w:r w:rsidRPr="00CB4BAD">
        <w:rPr>
          <w:sz w:val="22"/>
          <w:szCs w:val="22"/>
        </w:rPr>
        <w:t>。版面設定邊界，上方留</w:t>
      </w:r>
      <w:r w:rsidRPr="00CB4BAD">
        <w:rPr>
          <w:rFonts w:hint="eastAsia"/>
          <w:sz w:val="22"/>
          <w:szCs w:val="22"/>
        </w:rPr>
        <w:t>2.5</w:t>
      </w:r>
      <w:r w:rsidRPr="00CB4BAD">
        <w:rPr>
          <w:sz w:val="22"/>
          <w:szCs w:val="22"/>
        </w:rPr>
        <w:t xml:space="preserve"> cm</w:t>
      </w:r>
      <w:r w:rsidRPr="00CB4BAD">
        <w:rPr>
          <w:sz w:val="22"/>
          <w:szCs w:val="22"/>
        </w:rPr>
        <w:t>，下方留</w:t>
      </w:r>
      <w:r w:rsidRPr="00CB4BAD">
        <w:rPr>
          <w:rFonts w:hint="eastAsia"/>
          <w:sz w:val="22"/>
          <w:szCs w:val="22"/>
        </w:rPr>
        <w:t>2.5</w:t>
      </w:r>
      <w:r w:rsidRPr="00CB4BAD">
        <w:rPr>
          <w:sz w:val="22"/>
          <w:szCs w:val="22"/>
        </w:rPr>
        <w:t xml:space="preserve"> cm</w:t>
      </w:r>
      <w:r w:rsidRPr="00CB4BAD">
        <w:rPr>
          <w:sz w:val="22"/>
          <w:szCs w:val="22"/>
        </w:rPr>
        <w:t>，左邊界</w:t>
      </w:r>
      <w:r w:rsidR="00C23D9C">
        <w:rPr>
          <w:rFonts w:hint="eastAsia"/>
          <w:sz w:val="22"/>
          <w:szCs w:val="22"/>
        </w:rPr>
        <w:t>2.5</w:t>
      </w:r>
      <w:r w:rsidRPr="00CB4BAD">
        <w:rPr>
          <w:sz w:val="22"/>
          <w:szCs w:val="22"/>
        </w:rPr>
        <w:t xml:space="preserve"> cm</w:t>
      </w:r>
      <w:r w:rsidRPr="00CB4BAD">
        <w:rPr>
          <w:sz w:val="22"/>
          <w:szCs w:val="22"/>
        </w:rPr>
        <w:t>空白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sz w:val="22"/>
          <w:szCs w:val="22"/>
        </w:rPr>
        <w:t>右邊界</w:t>
      </w:r>
      <w:r w:rsidRPr="00CB4BAD">
        <w:rPr>
          <w:rFonts w:hint="eastAsia"/>
          <w:sz w:val="22"/>
          <w:szCs w:val="22"/>
        </w:rPr>
        <w:t>2.5</w:t>
      </w:r>
      <w:r w:rsidRPr="00CB4BAD">
        <w:rPr>
          <w:sz w:val="22"/>
          <w:szCs w:val="22"/>
        </w:rPr>
        <w:t xml:space="preserve"> cm</w:t>
      </w:r>
      <w:r w:rsidRPr="00CB4BAD">
        <w:rPr>
          <w:sz w:val="22"/>
          <w:szCs w:val="22"/>
        </w:rPr>
        <w:t>空白，裝訂邊</w:t>
      </w:r>
      <w:r w:rsidRPr="00CB4BAD">
        <w:rPr>
          <w:sz w:val="22"/>
          <w:szCs w:val="22"/>
        </w:rPr>
        <w:t>0 cm</w:t>
      </w:r>
      <w:r w:rsidRPr="00CB4BAD">
        <w:rPr>
          <w:sz w:val="22"/>
          <w:szCs w:val="22"/>
        </w:rPr>
        <w:t>。稿件請</w:t>
      </w:r>
      <w:proofErr w:type="gramStart"/>
      <w:r w:rsidRPr="00CB4BAD">
        <w:rPr>
          <w:sz w:val="22"/>
          <w:szCs w:val="22"/>
        </w:rPr>
        <w:t>採</w:t>
      </w:r>
      <w:proofErr w:type="gramEnd"/>
      <w:r w:rsidRPr="00CB4BAD">
        <w:rPr>
          <w:sz w:val="22"/>
          <w:szCs w:val="22"/>
        </w:rPr>
        <w:t>單欄的編排格式，包括本文、圖片、表格、參考文獻等</w:t>
      </w:r>
      <w:r w:rsidRPr="00CB4BAD">
        <w:rPr>
          <w:b/>
          <w:sz w:val="22"/>
          <w:szCs w:val="22"/>
        </w:rPr>
        <w:t>，</w:t>
      </w:r>
      <w:r w:rsidRPr="00CB4BAD">
        <w:rPr>
          <w:rFonts w:hint="eastAsia"/>
          <w:b/>
          <w:sz w:val="22"/>
          <w:szCs w:val="22"/>
        </w:rPr>
        <w:t>請注意內文長度：</w:t>
      </w:r>
      <w:r w:rsidR="00C23D9C" w:rsidRPr="00C23D9C">
        <w:rPr>
          <w:rFonts w:hint="eastAsia"/>
          <w:b/>
          <w:sz w:val="22"/>
          <w:szCs w:val="22"/>
        </w:rPr>
        <w:t>初稿中文</w:t>
      </w:r>
      <w:proofErr w:type="gramStart"/>
      <w:r w:rsidR="00C23D9C" w:rsidRPr="00C23D9C">
        <w:rPr>
          <w:rFonts w:hint="eastAsia"/>
          <w:b/>
          <w:sz w:val="22"/>
          <w:szCs w:val="22"/>
        </w:rPr>
        <w:t>勿</w:t>
      </w:r>
      <w:proofErr w:type="gramEnd"/>
      <w:r w:rsidR="00C23D9C" w:rsidRPr="00C23D9C">
        <w:rPr>
          <w:rFonts w:hint="eastAsia"/>
          <w:b/>
          <w:sz w:val="22"/>
          <w:szCs w:val="22"/>
        </w:rPr>
        <w:t>超過</w:t>
      </w:r>
      <w:r w:rsidR="00C23D9C" w:rsidRPr="00C23D9C">
        <w:rPr>
          <w:rFonts w:hint="eastAsia"/>
          <w:b/>
          <w:sz w:val="22"/>
          <w:szCs w:val="22"/>
        </w:rPr>
        <w:t>1500</w:t>
      </w:r>
      <w:r w:rsidR="00C23D9C" w:rsidRPr="00C23D9C">
        <w:rPr>
          <w:rFonts w:hint="eastAsia"/>
          <w:b/>
          <w:sz w:val="22"/>
          <w:szCs w:val="22"/>
        </w:rPr>
        <w:t>字、英文</w:t>
      </w:r>
      <w:proofErr w:type="gramStart"/>
      <w:r w:rsidR="00C23D9C" w:rsidRPr="00C23D9C">
        <w:rPr>
          <w:rFonts w:hint="eastAsia"/>
          <w:b/>
          <w:sz w:val="22"/>
          <w:szCs w:val="22"/>
        </w:rPr>
        <w:t>勿</w:t>
      </w:r>
      <w:proofErr w:type="gramEnd"/>
      <w:r w:rsidR="00C23D9C" w:rsidRPr="00C23D9C">
        <w:rPr>
          <w:rFonts w:hint="eastAsia"/>
          <w:b/>
          <w:sz w:val="22"/>
          <w:szCs w:val="22"/>
        </w:rPr>
        <w:t>超過</w:t>
      </w:r>
      <w:r w:rsidR="00C23D9C" w:rsidRPr="00C23D9C">
        <w:rPr>
          <w:rFonts w:hint="eastAsia"/>
          <w:b/>
          <w:sz w:val="22"/>
          <w:szCs w:val="22"/>
        </w:rPr>
        <w:t>1000</w:t>
      </w:r>
      <w:r w:rsidR="00C23D9C" w:rsidRPr="00C23D9C">
        <w:rPr>
          <w:rFonts w:hint="eastAsia"/>
          <w:b/>
          <w:sz w:val="22"/>
          <w:szCs w:val="22"/>
        </w:rPr>
        <w:t>字（字數計算不包含標題、摘要及參考文獻）；入選</w:t>
      </w:r>
      <w:proofErr w:type="gramStart"/>
      <w:r w:rsidR="00C23D9C" w:rsidRPr="00C23D9C">
        <w:rPr>
          <w:rFonts w:hint="eastAsia"/>
          <w:b/>
          <w:sz w:val="22"/>
          <w:szCs w:val="22"/>
        </w:rPr>
        <w:t>複</w:t>
      </w:r>
      <w:proofErr w:type="gramEnd"/>
      <w:r w:rsidR="00C23D9C" w:rsidRPr="00C23D9C">
        <w:rPr>
          <w:rFonts w:hint="eastAsia"/>
          <w:b/>
          <w:sz w:val="22"/>
          <w:szCs w:val="22"/>
        </w:rPr>
        <w:t>稿之精簡全論文中文</w:t>
      </w:r>
      <w:proofErr w:type="gramStart"/>
      <w:r w:rsidR="00C23D9C" w:rsidRPr="00C23D9C">
        <w:rPr>
          <w:rFonts w:hint="eastAsia"/>
          <w:b/>
          <w:sz w:val="22"/>
          <w:szCs w:val="22"/>
        </w:rPr>
        <w:t>勿</w:t>
      </w:r>
      <w:proofErr w:type="gramEnd"/>
      <w:r w:rsidR="00C23D9C" w:rsidRPr="00C23D9C">
        <w:rPr>
          <w:rFonts w:hint="eastAsia"/>
          <w:b/>
          <w:sz w:val="22"/>
          <w:szCs w:val="22"/>
        </w:rPr>
        <w:t>超過</w:t>
      </w:r>
      <w:r w:rsidR="00C23D9C" w:rsidRPr="00C23D9C">
        <w:rPr>
          <w:rFonts w:hint="eastAsia"/>
          <w:b/>
          <w:sz w:val="22"/>
          <w:szCs w:val="22"/>
        </w:rPr>
        <w:t>8000</w:t>
      </w:r>
      <w:r w:rsidR="00C23D9C" w:rsidRPr="00C23D9C">
        <w:rPr>
          <w:rFonts w:hint="eastAsia"/>
          <w:b/>
          <w:sz w:val="22"/>
          <w:szCs w:val="22"/>
        </w:rPr>
        <w:t>字、英文</w:t>
      </w:r>
      <w:proofErr w:type="gramStart"/>
      <w:r w:rsidR="00C23D9C" w:rsidRPr="00C23D9C">
        <w:rPr>
          <w:rFonts w:hint="eastAsia"/>
          <w:b/>
          <w:sz w:val="22"/>
          <w:szCs w:val="22"/>
        </w:rPr>
        <w:t>勿</w:t>
      </w:r>
      <w:proofErr w:type="gramEnd"/>
      <w:r w:rsidR="00C23D9C" w:rsidRPr="00C23D9C">
        <w:rPr>
          <w:rFonts w:hint="eastAsia"/>
          <w:b/>
          <w:sz w:val="22"/>
          <w:szCs w:val="22"/>
        </w:rPr>
        <w:t>超過</w:t>
      </w:r>
      <w:r w:rsidR="00C23D9C" w:rsidRPr="00C23D9C">
        <w:rPr>
          <w:rFonts w:hint="eastAsia"/>
          <w:b/>
          <w:sz w:val="22"/>
          <w:szCs w:val="22"/>
        </w:rPr>
        <w:t>5000</w:t>
      </w:r>
      <w:r w:rsidR="00C23D9C" w:rsidRPr="00C23D9C">
        <w:rPr>
          <w:rFonts w:hint="eastAsia"/>
          <w:b/>
          <w:sz w:val="22"/>
          <w:szCs w:val="22"/>
        </w:rPr>
        <w:t>字（字數計算不包含標題、摘要及參考文獻）</w:t>
      </w:r>
      <w:r w:rsidRPr="00CB4BAD">
        <w:rPr>
          <w:rFonts w:hint="eastAsia"/>
          <w:b/>
          <w:sz w:val="22"/>
          <w:szCs w:val="22"/>
        </w:rPr>
        <w:t>。以中文書寫者，需</w:t>
      </w:r>
      <w:proofErr w:type="gramStart"/>
      <w:r w:rsidRPr="00CB4BAD">
        <w:rPr>
          <w:rFonts w:hint="eastAsia"/>
          <w:b/>
          <w:sz w:val="22"/>
          <w:szCs w:val="22"/>
        </w:rPr>
        <w:t>併</w:t>
      </w:r>
      <w:proofErr w:type="gramEnd"/>
      <w:r w:rsidRPr="00CB4BAD">
        <w:rPr>
          <w:rFonts w:hint="eastAsia"/>
          <w:b/>
          <w:sz w:val="22"/>
          <w:szCs w:val="22"/>
        </w:rPr>
        <w:t>附英文摘要。</w:t>
      </w:r>
    </w:p>
    <w:p w:rsidR="00CB4BAD" w:rsidRPr="00CB4BAD" w:rsidRDefault="00CB4BAD" w:rsidP="00CB4BAD">
      <w:pPr>
        <w:snapToGrid w:val="0"/>
        <w:spacing w:beforeLines="100" w:before="435" w:afterLines="50" w:after="217" w:line="360" w:lineRule="atLeast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貳、論文格式</w:t>
      </w:r>
    </w:p>
    <w:p w:rsidR="00CB4BAD" w:rsidRPr="00CB4BAD" w:rsidRDefault="00CB4BAD" w:rsidP="00CB4BAD">
      <w:pPr>
        <w:snapToGrid w:val="0"/>
        <w:spacing w:beforeLines="50" w:before="217" w:line="360" w:lineRule="atLeast"/>
        <w:rPr>
          <w:sz w:val="24"/>
        </w:rPr>
      </w:pPr>
      <w:r w:rsidRPr="00CB4BAD">
        <w:rPr>
          <w:sz w:val="24"/>
        </w:rPr>
        <w:t>一、論文標題及作者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中文論文標題字形</w:t>
      </w:r>
      <w:proofErr w:type="gramStart"/>
      <w:r w:rsidRPr="00CB4BAD">
        <w:rPr>
          <w:sz w:val="22"/>
          <w:szCs w:val="22"/>
        </w:rPr>
        <w:t>採</w:t>
      </w:r>
      <w:proofErr w:type="gramEnd"/>
      <w:r w:rsidRPr="00CB4BAD">
        <w:rPr>
          <w:sz w:val="22"/>
          <w:szCs w:val="22"/>
        </w:rPr>
        <w:t>16pt</w:t>
      </w:r>
      <w:r w:rsidRPr="00CB4BAD">
        <w:rPr>
          <w:sz w:val="22"/>
          <w:szCs w:val="22"/>
        </w:rPr>
        <w:t>、標楷體、粗體，英文字形為</w:t>
      </w:r>
      <w:r w:rsidRPr="00CB4BAD">
        <w:rPr>
          <w:sz w:val="22"/>
          <w:szCs w:val="22"/>
        </w:rPr>
        <w:t>14pt</w:t>
      </w:r>
      <w:r w:rsidRPr="00CB4BAD">
        <w:rPr>
          <w:sz w:val="22"/>
          <w:szCs w:val="22"/>
        </w:rPr>
        <w:t>、</w:t>
      </w:r>
      <w:r w:rsidRPr="00CB4BAD">
        <w:rPr>
          <w:sz w:val="22"/>
          <w:szCs w:val="22"/>
        </w:rPr>
        <w:t>Times New Roman</w:t>
      </w:r>
      <w:r w:rsidRPr="00CB4BAD">
        <w:rPr>
          <w:sz w:val="22"/>
          <w:szCs w:val="22"/>
        </w:rPr>
        <w:t>、粗體。中英文皆為置中。而段落間距與前段距離為</w:t>
      </w:r>
      <w:r w:rsidRPr="00CB4BAD">
        <w:rPr>
          <w:sz w:val="22"/>
          <w:szCs w:val="22"/>
        </w:rPr>
        <w:t>1</w:t>
      </w:r>
      <w:r w:rsidRPr="00CB4BAD">
        <w:rPr>
          <w:sz w:val="22"/>
          <w:szCs w:val="22"/>
        </w:rPr>
        <w:t>行、與後段距離為</w:t>
      </w:r>
      <w:r w:rsidRPr="00CB4BAD">
        <w:rPr>
          <w:sz w:val="22"/>
          <w:szCs w:val="22"/>
        </w:rPr>
        <w:t>0.5</w:t>
      </w:r>
      <w:r w:rsidRPr="00CB4BAD">
        <w:rPr>
          <w:sz w:val="22"/>
          <w:szCs w:val="22"/>
        </w:rPr>
        <w:t>行，行距：最小行距，行高：</w:t>
      </w:r>
      <w:r w:rsidRPr="00CB4BAD">
        <w:rPr>
          <w:sz w:val="22"/>
          <w:szCs w:val="22"/>
        </w:rPr>
        <w:t>18pt</w:t>
      </w:r>
      <w:r w:rsidRPr="00CB4BAD">
        <w:rPr>
          <w:sz w:val="22"/>
          <w:szCs w:val="22"/>
        </w:rPr>
        <w:t>，且請勿勾選「文字格線被設定時，</w:t>
      </w:r>
      <w:proofErr w:type="gramStart"/>
      <w:r w:rsidRPr="00CB4BAD">
        <w:rPr>
          <w:sz w:val="22"/>
          <w:szCs w:val="22"/>
        </w:rPr>
        <w:t>貼齊格</w:t>
      </w:r>
      <w:proofErr w:type="gramEnd"/>
      <w:r w:rsidRPr="00CB4BAD">
        <w:rPr>
          <w:sz w:val="22"/>
          <w:szCs w:val="22"/>
        </w:rPr>
        <w:t>線」。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中英文作者姓名排列於中英文標題下方，並以註腳方式註明服務單位與職稱，聯絡作者應附上聯絡方式與電子郵件。中文字體為標楷體，英文為</w:t>
      </w:r>
      <w:r w:rsidRPr="00CB4BAD">
        <w:rPr>
          <w:sz w:val="22"/>
          <w:szCs w:val="22"/>
        </w:rPr>
        <w:t>Times New Roman</w:t>
      </w:r>
      <w:r w:rsidRPr="00CB4BAD">
        <w:rPr>
          <w:sz w:val="22"/>
          <w:szCs w:val="22"/>
        </w:rPr>
        <w:t>，中英文字體大小皆為</w:t>
      </w:r>
      <w:r w:rsidRPr="00CB4BAD">
        <w:rPr>
          <w:sz w:val="22"/>
          <w:szCs w:val="22"/>
        </w:rPr>
        <w:t>11pt</w:t>
      </w:r>
      <w:r w:rsidRPr="00CB4BAD">
        <w:rPr>
          <w:sz w:val="22"/>
          <w:szCs w:val="22"/>
        </w:rPr>
        <w:t>，置欄位中央，而段落間距都是與前、後段距離皆為</w:t>
      </w:r>
      <w:r w:rsidRPr="00CB4BAD">
        <w:rPr>
          <w:sz w:val="22"/>
          <w:szCs w:val="22"/>
        </w:rPr>
        <w:t>0</w:t>
      </w:r>
      <w:r w:rsidRPr="00CB4BAD">
        <w:rPr>
          <w:sz w:val="22"/>
          <w:szCs w:val="22"/>
        </w:rPr>
        <w:t>行，行距：最小行距，行高：</w:t>
      </w:r>
      <w:r w:rsidRPr="00CB4BAD">
        <w:rPr>
          <w:sz w:val="22"/>
          <w:szCs w:val="22"/>
        </w:rPr>
        <w:t>12pt</w:t>
      </w:r>
      <w:r w:rsidRPr="00CB4BAD">
        <w:rPr>
          <w:sz w:val="22"/>
          <w:szCs w:val="22"/>
        </w:rPr>
        <w:t>，且請勿勾選「文字格線被設定時，</w:t>
      </w:r>
      <w:proofErr w:type="gramStart"/>
      <w:r w:rsidRPr="00CB4BAD">
        <w:rPr>
          <w:sz w:val="22"/>
          <w:szCs w:val="22"/>
        </w:rPr>
        <w:t>貼齊格</w:t>
      </w:r>
      <w:proofErr w:type="gramEnd"/>
      <w:r w:rsidRPr="00CB4BAD">
        <w:rPr>
          <w:sz w:val="22"/>
          <w:szCs w:val="22"/>
        </w:rPr>
        <w:t>線」。作者服務單位全名若過長，請適當摘要或簡稱。</w:t>
      </w:r>
    </w:p>
    <w:p w:rsidR="00CB4BAD" w:rsidRPr="00CB4BAD" w:rsidRDefault="00CB4BAD" w:rsidP="00CB4BAD">
      <w:pPr>
        <w:snapToGrid w:val="0"/>
        <w:spacing w:beforeLines="50" w:before="217" w:line="360" w:lineRule="atLeast"/>
        <w:rPr>
          <w:sz w:val="24"/>
        </w:rPr>
      </w:pPr>
      <w:r w:rsidRPr="00CB4BAD">
        <w:rPr>
          <w:sz w:val="24"/>
        </w:rPr>
        <w:t>二、摘要</w:t>
      </w:r>
    </w:p>
    <w:p w:rsidR="00F877D3" w:rsidRDefault="00F877D3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摘要標題格式與主標題相同</w:t>
      </w:r>
      <w:r>
        <w:rPr>
          <w:rFonts w:hint="eastAsia"/>
          <w:sz w:val="22"/>
          <w:szCs w:val="22"/>
        </w:rPr>
        <w:t>，</w:t>
      </w:r>
      <w:proofErr w:type="gramStart"/>
      <w:r w:rsidRPr="00F877D3">
        <w:rPr>
          <w:rFonts w:hint="eastAsia"/>
          <w:sz w:val="22"/>
          <w:szCs w:val="22"/>
        </w:rPr>
        <w:t>採</w:t>
      </w:r>
      <w:proofErr w:type="gramEnd"/>
      <w:r w:rsidRPr="00F877D3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4</w:t>
      </w:r>
      <w:r w:rsidRPr="00F877D3">
        <w:rPr>
          <w:rFonts w:hint="eastAsia"/>
          <w:sz w:val="22"/>
          <w:szCs w:val="22"/>
        </w:rPr>
        <w:t>pt</w:t>
      </w:r>
      <w:r w:rsidRPr="00F877D3">
        <w:rPr>
          <w:rFonts w:hint="eastAsia"/>
          <w:sz w:val="22"/>
          <w:szCs w:val="22"/>
        </w:rPr>
        <w:t>、標楷體、粗體，英文字形為</w:t>
      </w:r>
      <w:r w:rsidRPr="00F877D3">
        <w:rPr>
          <w:rFonts w:hint="eastAsia"/>
          <w:sz w:val="22"/>
          <w:szCs w:val="22"/>
        </w:rPr>
        <w:t>14pt</w:t>
      </w:r>
      <w:r w:rsidRPr="00F877D3">
        <w:rPr>
          <w:rFonts w:hint="eastAsia"/>
          <w:sz w:val="22"/>
          <w:szCs w:val="22"/>
        </w:rPr>
        <w:t>、</w:t>
      </w:r>
      <w:r w:rsidRPr="00F877D3">
        <w:rPr>
          <w:rFonts w:hint="eastAsia"/>
          <w:sz w:val="22"/>
          <w:szCs w:val="22"/>
        </w:rPr>
        <w:t>Times New Roman</w:t>
      </w:r>
      <w:r w:rsidRPr="00F877D3">
        <w:rPr>
          <w:rFonts w:hint="eastAsia"/>
          <w:sz w:val="22"/>
          <w:szCs w:val="22"/>
        </w:rPr>
        <w:t>、粗體。中英文皆為置中。而段落間距與前段距離為</w:t>
      </w:r>
      <w:r w:rsidRPr="00F877D3">
        <w:rPr>
          <w:rFonts w:hint="eastAsia"/>
          <w:sz w:val="22"/>
          <w:szCs w:val="22"/>
        </w:rPr>
        <w:t>1</w:t>
      </w:r>
      <w:r w:rsidRPr="00F877D3">
        <w:rPr>
          <w:rFonts w:hint="eastAsia"/>
          <w:sz w:val="22"/>
          <w:szCs w:val="22"/>
        </w:rPr>
        <w:t>行、與後段距離為</w:t>
      </w:r>
      <w:r w:rsidRPr="00F877D3">
        <w:rPr>
          <w:rFonts w:hint="eastAsia"/>
          <w:sz w:val="22"/>
          <w:szCs w:val="22"/>
        </w:rPr>
        <w:t>0.5</w:t>
      </w:r>
      <w:r w:rsidRPr="00F877D3">
        <w:rPr>
          <w:rFonts w:hint="eastAsia"/>
          <w:sz w:val="22"/>
          <w:szCs w:val="22"/>
        </w:rPr>
        <w:t>行，行距：最小行距，行高：</w:t>
      </w:r>
      <w:r w:rsidRPr="00F877D3">
        <w:rPr>
          <w:rFonts w:hint="eastAsia"/>
          <w:sz w:val="22"/>
          <w:szCs w:val="22"/>
        </w:rPr>
        <w:t>18pt</w:t>
      </w:r>
      <w:r w:rsidRPr="00F877D3">
        <w:rPr>
          <w:rFonts w:hint="eastAsia"/>
          <w:sz w:val="22"/>
          <w:szCs w:val="22"/>
        </w:rPr>
        <w:t>，且請勿勾選「文字格線被設定時，</w:t>
      </w:r>
      <w:proofErr w:type="gramStart"/>
      <w:r w:rsidRPr="00F877D3">
        <w:rPr>
          <w:rFonts w:hint="eastAsia"/>
          <w:sz w:val="22"/>
          <w:szCs w:val="22"/>
        </w:rPr>
        <w:t>貼齊格</w:t>
      </w:r>
      <w:proofErr w:type="gramEnd"/>
      <w:r w:rsidRPr="00F877D3">
        <w:rPr>
          <w:rFonts w:hint="eastAsia"/>
          <w:sz w:val="22"/>
          <w:szCs w:val="22"/>
        </w:rPr>
        <w:t>線」。</w:t>
      </w:r>
    </w:p>
    <w:p w:rsidR="00F877D3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中文摘要以不超過</w:t>
      </w:r>
      <w:r w:rsidRPr="00CB4BAD">
        <w:rPr>
          <w:sz w:val="22"/>
          <w:szCs w:val="22"/>
        </w:rPr>
        <w:t>500</w:t>
      </w:r>
      <w:r w:rsidRPr="00CB4BAD">
        <w:rPr>
          <w:sz w:val="22"/>
          <w:szCs w:val="22"/>
        </w:rPr>
        <w:t>字、英文不超過</w:t>
      </w:r>
      <w:r w:rsidRPr="00CB4BAD">
        <w:rPr>
          <w:rFonts w:hint="eastAsia"/>
          <w:sz w:val="22"/>
          <w:szCs w:val="22"/>
        </w:rPr>
        <w:t>3</w:t>
      </w:r>
      <w:r w:rsidRPr="00CB4BAD">
        <w:rPr>
          <w:sz w:val="22"/>
          <w:szCs w:val="22"/>
        </w:rPr>
        <w:t>00</w:t>
      </w:r>
      <w:r w:rsidRPr="00CB4BAD">
        <w:rPr>
          <w:sz w:val="22"/>
          <w:szCs w:val="22"/>
        </w:rPr>
        <w:t>字為原則。</w:t>
      </w:r>
      <w:r w:rsidR="00F877D3" w:rsidRPr="00CB4BAD">
        <w:rPr>
          <w:b/>
          <w:sz w:val="22"/>
          <w:szCs w:val="22"/>
        </w:rPr>
        <w:t>字體為</w:t>
      </w:r>
      <w:r w:rsidR="00F877D3" w:rsidRPr="00CB4BAD">
        <w:rPr>
          <w:b/>
          <w:sz w:val="22"/>
          <w:szCs w:val="22"/>
        </w:rPr>
        <w:t>11pt</w:t>
      </w:r>
      <w:r w:rsidR="00F877D3" w:rsidRPr="00CB4BAD">
        <w:rPr>
          <w:sz w:val="22"/>
          <w:szCs w:val="22"/>
        </w:rPr>
        <w:t>，左右對齊，段落首行縮排</w:t>
      </w:r>
      <w:r w:rsidR="00F877D3" w:rsidRPr="00CB4BAD">
        <w:rPr>
          <w:sz w:val="22"/>
          <w:szCs w:val="22"/>
        </w:rPr>
        <w:t>2</w:t>
      </w:r>
      <w:r w:rsidR="00F877D3" w:rsidRPr="00CB4BAD">
        <w:rPr>
          <w:sz w:val="22"/>
          <w:szCs w:val="22"/>
        </w:rPr>
        <w:t>字元。字型中文內文為標楷體，英文為</w:t>
      </w:r>
      <w:r w:rsidR="00F877D3" w:rsidRPr="00CB4BAD">
        <w:rPr>
          <w:sz w:val="22"/>
          <w:szCs w:val="22"/>
        </w:rPr>
        <w:t>Times New Roman</w:t>
      </w:r>
      <w:r w:rsidR="00F877D3" w:rsidRPr="00CB4BAD">
        <w:rPr>
          <w:sz w:val="22"/>
          <w:szCs w:val="22"/>
        </w:rPr>
        <w:t>。而段落間距與前、後段距離皆為</w:t>
      </w:r>
      <w:r w:rsidR="00F877D3" w:rsidRPr="00CB4BAD">
        <w:rPr>
          <w:sz w:val="22"/>
          <w:szCs w:val="22"/>
        </w:rPr>
        <w:t>0.5</w:t>
      </w:r>
      <w:r w:rsidR="00F877D3" w:rsidRPr="00CB4BAD">
        <w:rPr>
          <w:sz w:val="22"/>
          <w:szCs w:val="22"/>
        </w:rPr>
        <w:t>行，行距：最小行距，行高：</w:t>
      </w:r>
      <w:r w:rsidR="00F877D3" w:rsidRPr="00CB4BAD">
        <w:rPr>
          <w:sz w:val="22"/>
          <w:szCs w:val="22"/>
        </w:rPr>
        <w:t>18pt</w:t>
      </w:r>
      <w:r w:rsidR="00F877D3" w:rsidRPr="00CB4BAD">
        <w:rPr>
          <w:sz w:val="22"/>
          <w:szCs w:val="22"/>
        </w:rPr>
        <w:t>，且請勿勾選「文字格線被設定時，</w:t>
      </w:r>
      <w:proofErr w:type="gramStart"/>
      <w:r w:rsidR="00F877D3" w:rsidRPr="00CB4BAD">
        <w:rPr>
          <w:sz w:val="22"/>
          <w:szCs w:val="22"/>
        </w:rPr>
        <w:t>貼齊格</w:t>
      </w:r>
      <w:proofErr w:type="gramEnd"/>
      <w:r w:rsidR="00F877D3" w:rsidRPr="00CB4BAD">
        <w:rPr>
          <w:sz w:val="22"/>
          <w:szCs w:val="22"/>
        </w:rPr>
        <w:t>線」。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關鍵字</w:t>
      </w:r>
      <w:proofErr w:type="gramStart"/>
      <w:r w:rsidRPr="00CB4BAD">
        <w:rPr>
          <w:sz w:val="22"/>
          <w:szCs w:val="22"/>
        </w:rPr>
        <w:t>勿</w:t>
      </w:r>
      <w:proofErr w:type="gramEnd"/>
      <w:r w:rsidRPr="00CB4BAD">
        <w:rPr>
          <w:sz w:val="22"/>
          <w:szCs w:val="22"/>
        </w:rPr>
        <w:t>超過五個，</w:t>
      </w:r>
      <w:proofErr w:type="gramStart"/>
      <w:r w:rsidRPr="00CB4BAD">
        <w:rPr>
          <w:sz w:val="22"/>
          <w:szCs w:val="22"/>
        </w:rPr>
        <w:t>請列於</w:t>
      </w:r>
      <w:proofErr w:type="gramEnd"/>
      <w:r w:rsidRPr="00CB4BAD">
        <w:rPr>
          <w:sz w:val="22"/>
          <w:szCs w:val="22"/>
        </w:rPr>
        <w:t>摘要之後。除</w:t>
      </w:r>
      <w:proofErr w:type="gramStart"/>
      <w:r w:rsidRPr="00CB4BAD">
        <w:rPr>
          <w:sz w:val="22"/>
          <w:szCs w:val="22"/>
        </w:rPr>
        <w:t>關鍵字勿縮排外</w:t>
      </w:r>
      <w:proofErr w:type="gramEnd"/>
      <w:r w:rsidRPr="00CB4BAD">
        <w:rPr>
          <w:sz w:val="22"/>
          <w:szCs w:val="22"/>
        </w:rPr>
        <w:t>，其他格式與內文相同。英文關鍵字後請空一行。</w:t>
      </w:r>
    </w:p>
    <w:p w:rsidR="00CB4BAD" w:rsidRPr="00CB4BAD" w:rsidRDefault="00F877D3" w:rsidP="00CB4BAD">
      <w:pPr>
        <w:snapToGrid w:val="0"/>
        <w:spacing w:beforeLines="50" w:before="217" w:line="360" w:lineRule="atLeast"/>
        <w:rPr>
          <w:sz w:val="24"/>
        </w:rPr>
      </w:pPr>
      <w:r>
        <w:rPr>
          <w:rFonts w:hint="eastAsia"/>
          <w:sz w:val="24"/>
          <w:lang w:eastAsia="zh-HK"/>
        </w:rPr>
        <w:t>三</w:t>
      </w:r>
      <w:r w:rsidR="00CB4BAD" w:rsidRPr="00CB4BAD">
        <w:rPr>
          <w:sz w:val="24"/>
        </w:rPr>
        <w:t>、章節標題、子標題與段落</w:t>
      </w:r>
    </w:p>
    <w:p w:rsidR="00F877D3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主標題順序</w:t>
      </w:r>
      <w:proofErr w:type="gramStart"/>
      <w:r w:rsidRPr="00CB4BAD">
        <w:rPr>
          <w:sz w:val="22"/>
          <w:szCs w:val="22"/>
        </w:rPr>
        <w:t>為壹、</w:t>
      </w:r>
      <w:proofErr w:type="gramEnd"/>
      <w:r w:rsidRPr="00CB4BAD">
        <w:rPr>
          <w:sz w:val="22"/>
          <w:szCs w:val="22"/>
        </w:rPr>
        <w:t>貳、參</w:t>
      </w:r>
      <w:r w:rsidRPr="00CB4BAD">
        <w:rPr>
          <w:sz w:val="22"/>
          <w:szCs w:val="22"/>
        </w:rPr>
        <w:t>…</w:t>
      </w:r>
      <w:r w:rsidRPr="00CB4BAD">
        <w:rPr>
          <w:sz w:val="22"/>
          <w:szCs w:val="22"/>
        </w:rPr>
        <w:t>，置中對齊，中文為標楷體，英文為</w:t>
      </w:r>
      <w:r w:rsidRPr="00CB4BAD">
        <w:rPr>
          <w:sz w:val="22"/>
          <w:szCs w:val="22"/>
        </w:rPr>
        <w:t>Times New Roman</w:t>
      </w:r>
      <w:r w:rsidRPr="00CB4BAD">
        <w:rPr>
          <w:sz w:val="22"/>
          <w:szCs w:val="22"/>
        </w:rPr>
        <w:t>，</w:t>
      </w:r>
      <w:r w:rsidRPr="00CB4BAD">
        <w:rPr>
          <w:sz w:val="22"/>
          <w:szCs w:val="22"/>
        </w:rPr>
        <w:t>14pt</w:t>
      </w:r>
      <w:r w:rsidRPr="00CB4BAD">
        <w:rPr>
          <w:sz w:val="22"/>
          <w:szCs w:val="22"/>
        </w:rPr>
        <w:t>、粗體</w:t>
      </w:r>
      <w:r w:rsidR="00F877D3">
        <w:rPr>
          <w:rFonts w:hint="eastAsia"/>
          <w:sz w:val="22"/>
          <w:szCs w:val="22"/>
        </w:rPr>
        <w:t>。</w:t>
      </w:r>
    </w:p>
    <w:p w:rsidR="00CB4BAD" w:rsidRDefault="00121C60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子標題後與內文一致靠左對齊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HK"/>
        </w:rPr>
        <w:t>但不需空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  <w:lang w:eastAsia="zh-HK"/>
        </w:rPr>
        <w:t>字元</w:t>
      </w:r>
      <w:r w:rsidR="00CB4BAD" w:rsidRPr="00CB4BAD">
        <w:rPr>
          <w:sz w:val="22"/>
          <w:szCs w:val="22"/>
        </w:rPr>
        <w:t>；子標題順序為一、二、三</w:t>
      </w:r>
      <w:r w:rsidR="00CB4BAD" w:rsidRPr="00CB4BAD">
        <w:rPr>
          <w:sz w:val="22"/>
          <w:szCs w:val="22"/>
        </w:rPr>
        <w:t>…</w:t>
      </w:r>
      <w:r w:rsidR="00CB4BAD" w:rsidRPr="00CB4BAD">
        <w:rPr>
          <w:sz w:val="22"/>
          <w:szCs w:val="22"/>
        </w:rPr>
        <w:t>，次子標題順序為</w:t>
      </w:r>
      <w:r w:rsidR="00CB4BAD" w:rsidRPr="00CB4BAD">
        <w:rPr>
          <w:sz w:val="22"/>
          <w:szCs w:val="22"/>
        </w:rPr>
        <w:t>(</w:t>
      </w:r>
      <w:proofErr w:type="gramStart"/>
      <w:r w:rsidR="00CB4BAD" w:rsidRPr="00CB4BAD">
        <w:rPr>
          <w:sz w:val="22"/>
          <w:szCs w:val="22"/>
        </w:rPr>
        <w:t>一</w:t>
      </w:r>
      <w:proofErr w:type="gramEnd"/>
      <w:r w:rsidR="00CB4BAD" w:rsidRPr="00CB4BAD">
        <w:rPr>
          <w:sz w:val="22"/>
          <w:szCs w:val="22"/>
        </w:rPr>
        <w:t>)(</w:t>
      </w:r>
      <w:r w:rsidR="00CB4BAD" w:rsidRPr="00CB4BAD">
        <w:rPr>
          <w:sz w:val="22"/>
          <w:szCs w:val="22"/>
        </w:rPr>
        <w:t>二</w:t>
      </w:r>
      <w:r w:rsidR="00CB4BAD" w:rsidRPr="00CB4BAD">
        <w:rPr>
          <w:sz w:val="22"/>
          <w:szCs w:val="22"/>
        </w:rPr>
        <w:t>)(</w:t>
      </w:r>
      <w:r w:rsidR="00CB4BAD" w:rsidRPr="00CB4BAD">
        <w:rPr>
          <w:sz w:val="22"/>
          <w:szCs w:val="22"/>
        </w:rPr>
        <w:t>三</w:t>
      </w:r>
      <w:r w:rsidR="00CB4BAD" w:rsidRPr="00CB4BAD">
        <w:rPr>
          <w:sz w:val="22"/>
          <w:szCs w:val="22"/>
        </w:rPr>
        <w:t>)…</w:t>
      </w:r>
      <w:r w:rsidR="00CB4BAD" w:rsidRPr="00CB4BAD">
        <w:rPr>
          <w:sz w:val="22"/>
          <w:szCs w:val="22"/>
        </w:rPr>
        <w:t>，</w:t>
      </w:r>
      <w:r w:rsidR="00F877D3" w:rsidRPr="00CB4BAD">
        <w:rPr>
          <w:sz w:val="22"/>
          <w:szCs w:val="22"/>
        </w:rPr>
        <w:t>次</w:t>
      </w:r>
      <w:r w:rsidR="00F877D3">
        <w:rPr>
          <w:rFonts w:hint="eastAsia"/>
          <w:sz w:val="22"/>
          <w:szCs w:val="22"/>
          <w:lang w:eastAsia="zh-HK"/>
        </w:rPr>
        <w:t>次</w:t>
      </w:r>
      <w:r w:rsidR="00F877D3" w:rsidRPr="00CB4BAD">
        <w:rPr>
          <w:sz w:val="22"/>
          <w:szCs w:val="22"/>
        </w:rPr>
        <w:t>子標題順序為</w:t>
      </w:r>
      <w:r w:rsidR="00F877D3">
        <w:rPr>
          <w:rFonts w:hint="eastAsia"/>
          <w:sz w:val="22"/>
          <w:szCs w:val="22"/>
        </w:rPr>
        <w:t>1.</w:t>
      </w:r>
      <w:r w:rsidR="00F877D3">
        <w:rPr>
          <w:rFonts w:hint="eastAsia"/>
          <w:sz w:val="22"/>
          <w:szCs w:val="22"/>
        </w:rPr>
        <w:t>、</w:t>
      </w:r>
      <w:r w:rsidR="00F877D3">
        <w:rPr>
          <w:rFonts w:hint="eastAsia"/>
          <w:sz w:val="22"/>
          <w:szCs w:val="22"/>
        </w:rPr>
        <w:t>2.</w:t>
      </w:r>
      <w:r w:rsidR="00F877D3">
        <w:rPr>
          <w:rFonts w:hint="eastAsia"/>
          <w:sz w:val="22"/>
          <w:szCs w:val="22"/>
        </w:rPr>
        <w:t>、</w:t>
      </w:r>
      <w:r w:rsidR="00F877D3">
        <w:rPr>
          <w:rFonts w:hint="eastAsia"/>
          <w:sz w:val="22"/>
          <w:szCs w:val="22"/>
        </w:rPr>
        <w:t>3.</w:t>
      </w:r>
      <w:r w:rsidR="00F877D3">
        <w:rPr>
          <w:sz w:val="22"/>
          <w:szCs w:val="22"/>
        </w:rPr>
        <w:t xml:space="preserve"> </w:t>
      </w:r>
      <w:r w:rsidR="00F877D3" w:rsidRPr="00CB4BAD">
        <w:rPr>
          <w:sz w:val="22"/>
          <w:szCs w:val="22"/>
        </w:rPr>
        <w:t>…</w:t>
      </w:r>
      <w:r w:rsidR="00F877D3" w:rsidRPr="00CB4BAD">
        <w:rPr>
          <w:sz w:val="22"/>
          <w:szCs w:val="22"/>
        </w:rPr>
        <w:t>，次</w:t>
      </w:r>
      <w:r w:rsidR="00F877D3">
        <w:rPr>
          <w:rFonts w:hint="eastAsia"/>
          <w:sz w:val="22"/>
          <w:szCs w:val="22"/>
          <w:lang w:eastAsia="zh-HK"/>
        </w:rPr>
        <w:t>次</w:t>
      </w:r>
      <w:r w:rsidR="00F877D3" w:rsidRPr="00CB4BAD">
        <w:rPr>
          <w:sz w:val="22"/>
          <w:szCs w:val="22"/>
        </w:rPr>
        <w:t>次子標題順序為</w:t>
      </w:r>
      <w:r w:rsidR="00F877D3" w:rsidRPr="00CB4BAD">
        <w:rPr>
          <w:sz w:val="22"/>
          <w:szCs w:val="22"/>
        </w:rPr>
        <w:t>(</w:t>
      </w:r>
      <w:r w:rsidR="00F877D3">
        <w:rPr>
          <w:rFonts w:hint="eastAsia"/>
          <w:sz w:val="22"/>
          <w:szCs w:val="22"/>
        </w:rPr>
        <w:t>1</w:t>
      </w:r>
      <w:r w:rsidR="00F877D3" w:rsidRPr="00CB4BAD">
        <w:rPr>
          <w:sz w:val="22"/>
          <w:szCs w:val="22"/>
        </w:rPr>
        <w:t>)(</w:t>
      </w:r>
      <w:r w:rsidR="00F877D3">
        <w:rPr>
          <w:rFonts w:hint="eastAsia"/>
          <w:sz w:val="22"/>
          <w:szCs w:val="22"/>
        </w:rPr>
        <w:t>2</w:t>
      </w:r>
      <w:r w:rsidR="00F877D3" w:rsidRPr="00CB4BAD">
        <w:rPr>
          <w:sz w:val="22"/>
          <w:szCs w:val="22"/>
        </w:rPr>
        <w:t>)(</w:t>
      </w:r>
      <w:r w:rsidR="00F877D3">
        <w:rPr>
          <w:rFonts w:hint="eastAsia"/>
          <w:sz w:val="22"/>
          <w:szCs w:val="22"/>
        </w:rPr>
        <w:t>3</w:t>
      </w:r>
      <w:r w:rsidR="00F877D3" w:rsidRPr="00CB4BAD">
        <w:rPr>
          <w:sz w:val="22"/>
          <w:szCs w:val="22"/>
        </w:rPr>
        <w:t>)…</w:t>
      </w:r>
      <w:r w:rsidR="00F877D3" w:rsidRPr="00CB4BAD">
        <w:rPr>
          <w:sz w:val="22"/>
          <w:szCs w:val="22"/>
        </w:rPr>
        <w:t>，</w:t>
      </w:r>
      <w:r w:rsidR="00CB4BAD" w:rsidRPr="00CB4BAD">
        <w:rPr>
          <w:sz w:val="22"/>
          <w:szCs w:val="22"/>
        </w:rPr>
        <w:t>中文為標楷體，英文為</w:t>
      </w:r>
      <w:r w:rsidR="00CB4BAD" w:rsidRPr="00CB4BAD">
        <w:rPr>
          <w:sz w:val="22"/>
          <w:szCs w:val="22"/>
        </w:rPr>
        <w:t>Times New Roman</w:t>
      </w:r>
      <w:r w:rsidR="00CB4BAD" w:rsidRPr="00CB4BAD">
        <w:rPr>
          <w:sz w:val="22"/>
          <w:szCs w:val="22"/>
        </w:rPr>
        <w:t>，</w:t>
      </w:r>
      <w:r w:rsidR="00CB4BAD" w:rsidRPr="00CB4BAD">
        <w:rPr>
          <w:sz w:val="22"/>
          <w:szCs w:val="22"/>
        </w:rPr>
        <w:t>12pt</w:t>
      </w:r>
      <w:r w:rsidR="00CB4BAD" w:rsidRPr="00CB4BAD">
        <w:rPr>
          <w:sz w:val="22"/>
          <w:szCs w:val="22"/>
        </w:rPr>
        <w:t>、靠左對齊。而段落間距與前、後段距離皆為</w:t>
      </w:r>
      <w:r w:rsidR="00CB4BAD" w:rsidRPr="00CB4BAD">
        <w:rPr>
          <w:sz w:val="22"/>
          <w:szCs w:val="22"/>
        </w:rPr>
        <w:t>0.5</w:t>
      </w:r>
      <w:r w:rsidR="00CB4BAD" w:rsidRPr="00CB4BAD">
        <w:rPr>
          <w:sz w:val="22"/>
          <w:szCs w:val="22"/>
        </w:rPr>
        <w:t>行，行距：最小行距，行高：</w:t>
      </w:r>
      <w:r w:rsidR="00CB4BAD" w:rsidRPr="00CB4BAD">
        <w:rPr>
          <w:sz w:val="22"/>
          <w:szCs w:val="22"/>
        </w:rPr>
        <w:t>18pt</w:t>
      </w:r>
      <w:r w:rsidR="00CB4BAD" w:rsidRPr="00CB4BAD">
        <w:rPr>
          <w:sz w:val="22"/>
          <w:szCs w:val="22"/>
        </w:rPr>
        <w:t>，且請勿勾選「文字格線被設定時，</w:t>
      </w:r>
      <w:proofErr w:type="gramStart"/>
      <w:r w:rsidR="00CB4BAD" w:rsidRPr="00CB4BAD">
        <w:rPr>
          <w:sz w:val="22"/>
          <w:szCs w:val="22"/>
        </w:rPr>
        <w:t>貼齊格</w:t>
      </w:r>
      <w:proofErr w:type="gramEnd"/>
      <w:r w:rsidR="00CB4BAD" w:rsidRPr="00CB4BAD">
        <w:rPr>
          <w:sz w:val="22"/>
          <w:szCs w:val="22"/>
        </w:rPr>
        <w:t>線」。</w:t>
      </w:r>
    </w:p>
    <w:p w:rsidR="00F877D3" w:rsidRPr="00CB4BAD" w:rsidRDefault="00F877D3" w:rsidP="00F877D3">
      <w:pPr>
        <w:snapToGrid w:val="0"/>
        <w:spacing w:beforeLines="50" w:before="217" w:line="360" w:lineRule="atLeast"/>
        <w:rPr>
          <w:sz w:val="24"/>
        </w:rPr>
      </w:pPr>
      <w:r w:rsidRPr="00CB4BAD">
        <w:rPr>
          <w:sz w:val="24"/>
        </w:rPr>
        <w:t>三、內文</w:t>
      </w:r>
    </w:p>
    <w:p w:rsidR="00F877D3" w:rsidRPr="00CB4BAD" w:rsidRDefault="00F877D3" w:rsidP="00F877D3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b/>
          <w:sz w:val="22"/>
          <w:szCs w:val="22"/>
        </w:rPr>
        <w:lastRenderedPageBreak/>
        <w:t>字體為</w:t>
      </w:r>
      <w:r w:rsidRPr="00CB4BAD">
        <w:rPr>
          <w:b/>
          <w:sz w:val="22"/>
          <w:szCs w:val="22"/>
        </w:rPr>
        <w:t>11pt</w:t>
      </w:r>
      <w:r w:rsidRPr="00CB4BAD">
        <w:rPr>
          <w:sz w:val="22"/>
          <w:szCs w:val="22"/>
        </w:rPr>
        <w:t>，左右對齊，段落首行縮排</w:t>
      </w:r>
      <w:r w:rsidRPr="00CB4BAD">
        <w:rPr>
          <w:sz w:val="22"/>
          <w:szCs w:val="22"/>
        </w:rPr>
        <w:t>2</w:t>
      </w:r>
      <w:r w:rsidRPr="00CB4BAD">
        <w:rPr>
          <w:sz w:val="22"/>
          <w:szCs w:val="22"/>
        </w:rPr>
        <w:t>字元。字型中文內文為標楷體，標題為標楷體，英文為</w:t>
      </w:r>
      <w:r w:rsidRPr="00CB4BAD">
        <w:rPr>
          <w:sz w:val="22"/>
          <w:szCs w:val="22"/>
        </w:rPr>
        <w:t>Times New Roman</w:t>
      </w:r>
      <w:r w:rsidRPr="00CB4BAD">
        <w:rPr>
          <w:sz w:val="22"/>
          <w:szCs w:val="22"/>
        </w:rPr>
        <w:t>。而段落間距與前、後段距離皆為</w:t>
      </w:r>
      <w:r w:rsidRPr="00CB4BAD">
        <w:rPr>
          <w:sz w:val="22"/>
          <w:szCs w:val="22"/>
        </w:rPr>
        <w:t>0.5</w:t>
      </w:r>
      <w:r w:rsidRPr="00CB4BAD">
        <w:rPr>
          <w:sz w:val="22"/>
          <w:szCs w:val="22"/>
        </w:rPr>
        <w:t>行，行距：最小行距，行高：</w:t>
      </w:r>
      <w:r w:rsidRPr="00CB4BAD">
        <w:rPr>
          <w:sz w:val="22"/>
          <w:szCs w:val="22"/>
        </w:rPr>
        <w:t>18pt</w:t>
      </w:r>
      <w:r w:rsidRPr="00CB4BAD">
        <w:rPr>
          <w:sz w:val="22"/>
          <w:szCs w:val="22"/>
        </w:rPr>
        <w:t>，且請勿勾選「文字格線被設定時，</w:t>
      </w:r>
      <w:proofErr w:type="gramStart"/>
      <w:r w:rsidRPr="00CB4BAD">
        <w:rPr>
          <w:sz w:val="22"/>
          <w:szCs w:val="22"/>
        </w:rPr>
        <w:t>貼齊格</w:t>
      </w:r>
      <w:proofErr w:type="gramEnd"/>
      <w:r w:rsidRPr="00CB4BAD">
        <w:rPr>
          <w:sz w:val="22"/>
          <w:szCs w:val="22"/>
        </w:rPr>
        <w:t>線」。</w:t>
      </w:r>
    </w:p>
    <w:p w:rsidR="00CB4BAD" w:rsidRPr="00CB4BAD" w:rsidRDefault="00CB4BAD" w:rsidP="00CB4BAD">
      <w:pPr>
        <w:snapToGrid w:val="0"/>
        <w:spacing w:beforeLines="100" w:before="435" w:afterLines="50" w:after="217" w:line="360" w:lineRule="atLeast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參、圖片與表格</w:t>
      </w:r>
    </w:p>
    <w:p w:rsidR="00CB4BAD" w:rsidRPr="00CB4BAD" w:rsidRDefault="00CB4BAD" w:rsidP="00CB4BAD">
      <w:pPr>
        <w:snapToGrid w:val="0"/>
        <w:spacing w:beforeLines="50" w:before="217" w:line="360" w:lineRule="atLeast"/>
        <w:rPr>
          <w:sz w:val="24"/>
        </w:rPr>
      </w:pPr>
      <w:r w:rsidRPr="00CB4BAD">
        <w:rPr>
          <w:sz w:val="24"/>
        </w:rPr>
        <w:t>一、圖片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圖片標題必須為</w:t>
      </w:r>
      <w:r w:rsidRPr="00CB4BAD">
        <w:rPr>
          <w:sz w:val="22"/>
          <w:szCs w:val="22"/>
        </w:rPr>
        <w:t xml:space="preserve">11 </w:t>
      </w:r>
      <w:proofErr w:type="spellStart"/>
      <w:r w:rsidRPr="00CB4BAD">
        <w:rPr>
          <w:sz w:val="22"/>
          <w:szCs w:val="22"/>
        </w:rPr>
        <w:t>pt</w:t>
      </w:r>
      <w:proofErr w:type="spellEnd"/>
      <w:r w:rsidRPr="00CB4BAD">
        <w:rPr>
          <w:sz w:val="22"/>
          <w:szCs w:val="22"/>
        </w:rPr>
        <w:t>，</w:t>
      </w:r>
      <w:r w:rsidR="00AD4BB1">
        <w:rPr>
          <w:rFonts w:hint="eastAsia"/>
          <w:sz w:val="22"/>
          <w:szCs w:val="22"/>
          <w:lang w:eastAsia="zh-HK"/>
        </w:rPr>
        <w:t>新細明體</w:t>
      </w:r>
      <w:r w:rsidRPr="00CB4BAD">
        <w:rPr>
          <w:sz w:val="22"/>
          <w:szCs w:val="22"/>
        </w:rPr>
        <w:t>，置於圖片下方且置中，與前後段距離</w:t>
      </w:r>
      <w:r w:rsidRPr="00CB4BAD">
        <w:rPr>
          <w:sz w:val="22"/>
          <w:szCs w:val="22"/>
        </w:rPr>
        <w:t>0.5</w:t>
      </w:r>
      <w:r w:rsidRPr="00CB4BAD">
        <w:rPr>
          <w:sz w:val="22"/>
          <w:szCs w:val="22"/>
        </w:rPr>
        <w:t>列。圖形編號請用阿拉伯數字依序編號，例如「圖</w:t>
      </w:r>
      <w:r w:rsidRPr="00CB4BAD">
        <w:rPr>
          <w:sz w:val="22"/>
          <w:szCs w:val="22"/>
        </w:rPr>
        <w:t>1</w:t>
      </w:r>
      <w:r w:rsidRPr="00CB4BAD">
        <w:rPr>
          <w:sz w:val="22"/>
          <w:szCs w:val="22"/>
        </w:rPr>
        <w:t>」而非「圖一」。圖片中字體以</w:t>
      </w:r>
      <w:r w:rsidRPr="00CB4BAD">
        <w:rPr>
          <w:sz w:val="22"/>
          <w:szCs w:val="22"/>
        </w:rPr>
        <w:t>11pt</w:t>
      </w:r>
      <w:r w:rsidRPr="00CB4BAD">
        <w:rPr>
          <w:sz w:val="22"/>
          <w:szCs w:val="22"/>
        </w:rPr>
        <w:t>為原則。</w:t>
      </w:r>
    </w:p>
    <w:p w:rsidR="00CB4BAD" w:rsidRPr="00CB4BAD" w:rsidRDefault="00CB4BAD" w:rsidP="00CB4BAD">
      <w:pPr>
        <w:snapToGrid w:val="0"/>
        <w:spacing w:beforeLines="50" w:before="217" w:line="360" w:lineRule="atLeast"/>
        <w:rPr>
          <w:sz w:val="24"/>
        </w:rPr>
      </w:pPr>
      <w:r w:rsidRPr="00CB4BAD">
        <w:rPr>
          <w:sz w:val="24"/>
        </w:rPr>
        <w:t>二、表格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表格標題必須為</w:t>
      </w:r>
      <w:r w:rsidRPr="00CB4BAD">
        <w:rPr>
          <w:sz w:val="22"/>
          <w:szCs w:val="22"/>
        </w:rPr>
        <w:t>11pt</w:t>
      </w:r>
      <w:r w:rsidRPr="00CB4BAD">
        <w:rPr>
          <w:sz w:val="22"/>
          <w:szCs w:val="22"/>
        </w:rPr>
        <w:t>，</w:t>
      </w:r>
      <w:r w:rsidR="00AD4BB1">
        <w:rPr>
          <w:rFonts w:hint="eastAsia"/>
          <w:sz w:val="22"/>
          <w:szCs w:val="22"/>
          <w:lang w:eastAsia="zh-HK"/>
        </w:rPr>
        <w:t>新細明體</w:t>
      </w:r>
      <w:r w:rsidRPr="00CB4BAD">
        <w:rPr>
          <w:sz w:val="22"/>
          <w:szCs w:val="22"/>
        </w:rPr>
        <w:t>，置於表格上方且置中，與前後段距離</w:t>
      </w:r>
      <w:r w:rsidRPr="00CB4BAD">
        <w:rPr>
          <w:sz w:val="22"/>
          <w:szCs w:val="22"/>
        </w:rPr>
        <w:t>0.5</w:t>
      </w:r>
      <w:r w:rsidRPr="00CB4BAD">
        <w:rPr>
          <w:sz w:val="22"/>
          <w:szCs w:val="22"/>
        </w:rPr>
        <w:t>列。表格編號請用阿拉伯數字依序編號，例如「表</w:t>
      </w:r>
      <w:r w:rsidRPr="00CB4BAD">
        <w:rPr>
          <w:sz w:val="22"/>
          <w:szCs w:val="22"/>
        </w:rPr>
        <w:t>1</w:t>
      </w:r>
      <w:r w:rsidRPr="00CB4BAD">
        <w:rPr>
          <w:sz w:val="22"/>
          <w:szCs w:val="22"/>
        </w:rPr>
        <w:t>」而非「表</w:t>
      </w:r>
      <w:proofErr w:type="gramStart"/>
      <w:r w:rsidRPr="00CB4BAD">
        <w:rPr>
          <w:sz w:val="22"/>
          <w:szCs w:val="22"/>
        </w:rPr>
        <w:t>一</w:t>
      </w:r>
      <w:proofErr w:type="gramEnd"/>
      <w:r w:rsidRPr="00CB4BAD">
        <w:rPr>
          <w:sz w:val="22"/>
          <w:szCs w:val="22"/>
        </w:rPr>
        <w:t>」。表格請盡可能排成同頁。</w:t>
      </w:r>
    </w:p>
    <w:p w:rsidR="00CB4BAD" w:rsidRPr="00CB4BAD" w:rsidRDefault="00CB4BAD" w:rsidP="00CB4BAD">
      <w:pPr>
        <w:snapToGrid w:val="0"/>
        <w:spacing w:beforeLines="50" w:before="217" w:line="360" w:lineRule="atLeast"/>
        <w:rPr>
          <w:sz w:val="24"/>
        </w:rPr>
      </w:pPr>
      <w:r w:rsidRPr="00CB4BAD">
        <w:rPr>
          <w:sz w:val="24"/>
        </w:rPr>
        <w:t>三、</w:t>
      </w:r>
      <w:proofErr w:type="gramStart"/>
      <w:r w:rsidRPr="00CB4BAD">
        <w:rPr>
          <w:sz w:val="24"/>
        </w:rPr>
        <w:t>註</w:t>
      </w:r>
      <w:proofErr w:type="gramEnd"/>
      <w:r w:rsidRPr="00CB4BAD">
        <w:rPr>
          <w:sz w:val="24"/>
        </w:rPr>
        <w:t>釋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請盡量不要使用</w:t>
      </w:r>
      <w:proofErr w:type="gramStart"/>
      <w:r w:rsidRPr="00CB4BAD">
        <w:rPr>
          <w:sz w:val="22"/>
          <w:szCs w:val="22"/>
        </w:rPr>
        <w:t>註釋而</w:t>
      </w:r>
      <w:proofErr w:type="gramEnd"/>
      <w:r w:rsidRPr="00CB4BAD">
        <w:rPr>
          <w:sz w:val="22"/>
          <w:szCs w:val="22"/>
        </w:rPr>
        <w:t>以參考文獻方式引用。若需使用</w:t>
      </w:r>
      <w:proofErr w:type="gramStart"/>
      <w:r w:rsidRPr="00CB4BAD">
        <w:rPr>
          <w:sz w:val="22"/>
          <w:szCs w:val="22"/>
        </w:rPr>
        <w:t>註釋時</w:t>
      </w:r>
      <w:proofErr w:type="gramEnd"/>
      <w:r w:rsidRPr="00CB4BAD">
        <w:rPr>
          <w:sz w:val="22"/>
          <w:szCs w:val="22"/>
        </w:rPr>
        <w:t>，於本文內</w:t>
      </w:r>
      <w:r w:rsidRPr="00CB4BAD">
        <w:rPr>
          <w:rFonts w:hint="eastAsia"/>
          <w:sz w:val="22"/>
          <w:szCs w:val="22"/>
        </w:rPr>
        <w:t>需</w:t>
      </w:r>
      <w:r w:rsidRPr="00CB4BAD">
        <w:rPr>
          <w:sz w:val="22"/>
          <w:szCs w:val="22"/>
        </w:rPr>
        <w:t>標</w:t>
      </w:r>
      <w:proofErr w:type="gramStart"/>
      <w:r w:rsidRPr="00CB4BAD">
        <w:rPr>
          <w:sz w:val="22"/>
          <w:szCs w:val="22"/>
        </w:rPr>
        <w:t>註</w:t>
      </w:r>
      <w:proofErr w:type="gramEnd"/>
      <w:r w:rsidRPr="00CB4BAD">
        <w:rPr>
          <w:rFonts w:hint="eastAsia"/>
          <w:sz w:val="22"/>
          <w:szCs w:val="22"/>
        </w:rPr>
        <w:t>文字後插入右上方縮小</w:t>
      </w:r>
      <w:proofErr w:type="gramStart"/>
      <w:r w:rsidRPr="00CB4BAD">
        <w:rPr>
          <w:rFonts w:hint="eastAsia"/>
          <w:sz w:val="22"/>
          <w:szCs w:val="22"/>
        </w:rPr>
        <w:t>註</w:t>
      </w:r>
      <w:proofErr w:type="gramEnd"/>
      <w:r w:rsidRPr="00CB4BAD">
        <w:rPr>
          <w:rFonts w:hint="eastAsia"/>
          <w:sz w:val="22"/>
          <w:szCs w:val="22"/>
        </w:rPr>
        <w:t>脚號碼（如，羌笛</w:t>
      </w:r>
      <w:r w:rsidRPr="00CB4BAD">
        <w:rPr>
          <w:rFonts w:hint="eastAsia"/>
          <w:sz w:val="22"/>
          <w:szCs w:val="22"/>
          <w:vertAlign w:val="superscript"/>
        </w:rPr>
        <w:t>2</w:t>
      </w:r>
      <w:r w:rsidRPr="00CB4BAD">
        <w:rPr>
          <w:rFonts w:hint="eastAsia"/>
          <w:sz w:val="22"/>
          <w:szCs w:val="22"/>
        </w:rPr>
        <w:t>），再於該頁下方畫一橫線列出註解，註解字體請使用新細明體</w:t>
      </w:r>
      <w:r w:rsidRPr="00CB4BAD">
        <w:rPr>
          <w:rFonts w:hint="eastAsia"/>
          <w:sz w:val="22"/>
          <w:szCs w:val="22"/>
        </w:rPr>
        <w:t>10pt</w:t>
      </w:r>
      <w:r w:rsidRPr="00CB4BAD">
        <w:rPr>
          <w:rFonts w:hint="eastAsia"/>
          <w:sz w:val="22"/>
          <w:szCs w:val="22"/>
        </w:rPr>
        <w:t>（註脚使用方式請參考</w:t>
      </w:r>
      <w:proofErr w:type="spellStart"/>
      <w:r w:rsidRPr="00CB4BAD">
        <w:rPr>
          <w:rFonts w:hint="eastAsia"/>
          <w:sz w:val="22"/>
          <w:szCs w:val="22"/>
        </w:rPr>
        <w:t>microsoft</w:t>
      </w:r>
      <w:proofErr w:type="spellEnd"/>
      <w:r w:rsidRPr="00CB4BAD">
        <w:rPr>
          <w:rFonts w:hint="eastAsia"/>
          <w:sz w:val="22"/>
          <w:szCs w:val="22"/>
        </w:rPr>
        <w:t xml:space="preserve"> office word 2007</w:t>
      </w:r>
      <w:r w:rsidRPr="00CB4BAD">
        <w:rPr>
          <w:rFonts w:hint="eastAsia"/>
          <w:sz w:val="22"/>
          <w:szCs w:val="22"/>
        </w:rPr>
        <w:t>以上版本）</w:t>
      </w:r>
      <w:r w:rsidRPr="00CB4BAD">
        <w:rPr>
          <w:sz w:val="22"/>
          <w:szCs w:val="22"/>
        </w:rPr>
        <w:t>。</w:t>
      </w:r>
    </w:p>
    <w:p w:rsidR="00CB4BAD" w:rsidRPr="00CB4BAD" w:rsidRDefault="00CB4BAD" w:rsidP="00CB4BAD">
      <w:pPr>
        <w:snapToGrid w:val="0"/>
        <w:spacing w:beforeLines="100" w:before="435" w:afterLines="50" w:after="217" w:line="360" w:lineRule="atLeast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肆、參考文獻格式說明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參考文獻字體</w:t>
      </w:r>
      <w:r w:rsidRPr="00CB4BAD">
        <w:rPr>
          <w:sz w:val="22"/>
          <w:szCs w:val="22"/>
        </w:rPr>
        <w:t>11pt</w:t>
      </w:r>
      <w:r w:rsidRPr="00CB4BAD">
        <w:rPr>
          <w:sz w:val="22"/>
          <w:szCs w:val="22"/>
        </w:rPr>
        <w:t>，左右對齊，首行</w:t>
      </w:r>
      <w:proofErr w:type="gramStart"/>
      <w:r w:rsidRPr="00CB4BAD">
        <w:rPr>
          <w:sz w:val="22"/>
          <w:szCs w:val="22"/>
        </w:rPr>
        <w:t>凸</w:t>
      </w:r>
      <w:proofErr w:type="gramEnd"/>
      <w:r w:rsidRPr="00CB4BAD">
        <w:rPr>
          <w:sz w:val="22"/>
          <w:szCs w:val="22"/>
        </w:rPr>
        <w:t>排</w:t>
      </w:r>
      <w:r w:rsidRPr="00CB4BAD">
        <w:rPr>
          <w:rFonts w:hint="eastAsia"/>
          <w:sz w:val="22"/>
          <w:szCs w:val="22"/>
        </w:rPr>
        <w:t>4</w:t>
      </w:r>
      <w:r w:rsidR="00AD4BB1">
        <w:rPr>
          <w:rFonts w:hint="eastAsia"/>
          <w:sz w:val="22"/>
          <w:szCs w:val="22"/>
          <w:lang w:eastAsia="zh-HK"/>
        </w:rPr>
        <w:t>英文</w:t>
      </w:r>
      <w:r w:rsidRPr="00CB4BAD">
        <w:rPr>
          <w:sz w:val="22"/>
          <w:szCs w:val="22"/>
        </w:rPr>
        <w:t>字元，字型中文為標楷體，英文為</w:t>
      </w:r>
      <w:r w:rsidRPr="00CB4BAD">
        <w:rPr>
          <w:sz w:val="22"/>
          <w:szCs w:val="22"/>
        </w:rPr>
        <w:t>Times New Roman</w:t>
      </w:r>
      <w:r w:rsidRPr="00CB4BAD">
        <w:rPr>
          <w:sz w:val="22"/>
          <w:szCs w:val="22"/>
        </w:rPr>
        <w:t>。而段落間距與前、後段距離皆為</w:t>
      </w:r>
      <w:r w:rsidRPr="00CB4BAD">
        <w:rPr>
          <w:sz w:val="22"/>
          <w:szCs w:val="22"/>
        </w:rPr>
        <w:t>0.3</w:t>
      </w:r>
      <w:r w:rsidRPr="00CB4BAD">
        <w:rPr>
          <w:sz w:val="22"/>
          <w:szCs w:val="22"/>
        </w:rPr>
        <w:t>行，行距：最小行距，行高：</w:t>
      </w:r>
      <w:r w:rsidRPr="00CB4BAD">
        <w:rPr>
          <w:sz w:val="22"/>
          <w:szCs w:val="22"/>
        </w:rPr>
        <w:t>12pt</w:t>
      </w:r>
      <w:r w:rsidRPr="00CB4BAD">
        <w:rPr>
          <w:sz w:val="22"/>
          <w:szCs w:val="22"/>
        </w:rPr>
        <w:t>，且請勿勾選「文字格線被設定時，</w:t>
      </w:r>
      <w:proofErr w:type="gramStart"/>
      <w:r w:rsidRPr="00CB4BAD">
        <w:rPr>
          <w:sz w:val="22"/>
          <w:szCs w:val="22"/>
        </w:rPr>
        <w:t>貼齊格</w:t>
      </w:r>
      <w:proofErr w:type="gramEnd"/>
      <w:r w:rsidRPr="00CB4BAD">
        <w:rPr>
          <w:sz w:val="22"/>
          <w:szCs w:val="22"/>
        </w:rPr>
        <w:t>線」。</w:t>
      </w:r>
    </w:p>
    <w:p w:rsidR="00CB4BAD" w:rsidRPr="00CB4BAD" w:rsidRDefault="00CB4BAD" w:rsidP="00CB4BAD">
      <w:pPr>
        <w:snapToGrid w:val="0"/>
        <w:spacing w:beforeLines="50" w:before="217" w:afterLines="50" w:after="217" w:line="360" w:lineRule="atLeast"/>
        <w:ind w:firstLineChars="200" w:firstLine="44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>參考資料中文在前，依姓名筆劃排序，英文在後，依姓氏</w:t>
      </w:r>
      <w:r w:rsidRPr="00CB4BAD">
        <w:rPr>
          <w:sz w:val="22"/>
          <w:szCs w:val="22"/>
        </w:rPr>
        <w:t>A</w:t>
      </w:r>
      <w:r w:rsidRPr="00CB4BAD">
        <w:rPr>
          <w:sz w:val="22"/>
          <w:szCs w:val="22"/>
        </w:rPr>
        <w:t>～</w:t>
      </w:r>
      <w:r w:rsidRPr="00CB4BAD">
        <w:rPr>
          <w:sz w:val="22"/>
          <w:szCs w:val="22"/>
        </w:rPr>
        <w:t>Z</w:t>
      </w:r>
      <w:r w:rsidRPr="00CB4BAD">
        <w:rPr>
          <w:sz w:val="22"/>
          <w:szCs w:val="22"/>
        </w:rPr>
        <w:t>次序排列。所有參考文獻都必須在本文內有實際引用者，方得列入，而所有本文內引用到的文獻，也都必須列明於參考文獻中。參考文獻撰寫格式</w:t>
      </w:r>
      <w:r w:rsidRPr="00CB4BAD">
        <w:rPr>
          <w:rFonts w:hint="eastAsia"/>
          <w:sz w:val="22"/>
          <w:szCs w:val="22"/>
        </w:rPr>
        <w:t>請依</w:t>
      </w:r>
      <w:r w:rsidRPr="00CB4BAD">
        <w:rPr>
          <w:rFonts w:hint="eastAsia"/>
          <w:sz w:val="22"/>
          <w:szCs w:val="22"/>
        </w:rPr>
        <w:t>APA</w:t>
      </w:r>
      <w:r w:rsidRPr="00CB4BAD">
        <w:rPr>
          <w:rFonts w:hint="eastAsia"/>
          <w:sz w:val="22"/>
          <w:szCs w:val="22"/>
        </w:rPr>
        <w:t>第</w:t>
      </w:r>
      <w:r w:rsidRPr="00CB4BAD">
        <w:rPr>
          <w:sz w:val="22"/>
          <w:szCs w:val="22"/>
        </w:rPr>
        <w:t>六版編排。</w:t>
      </w:r>
    </w:p>
    <w:p w:rsidR="00CB4BAD" w:rsidRPr="00CB4BAD" w:rsidRDefault="00CB4BAD" w:rsidP="00CB4BAD">
      <w:pPr>
        <w:snapToGrid w:val="0"/>
        <w:spacing w:beforeLines="100" w:before="435" w:afterLines="50" w:after="217" w:line="360" w:lineRule="atLeast"/>
        <w:jc w:val="center"/>
        <w:rPr>
          <w:b/>
          <w:sz w:val="28"/>
          <w:szCs w:val="28"/>
        </w:rPr>
      </w:pPr>
      <w:r w:rsidRPr="00CB4BAD">
        <w:rPr>
          <w:b/>
          <w:sz w:val="28"/>
          <w:szCs w:val="28"/>
        </w:rPr>
        <w:t>參考文獻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proofErr w:type="gramStart"/>
      <w:r w:rsidRPr="00CB4BAD">
        <w:rPr>
          <w:rFonts w:hint="eastAsia"/>
          <w:sz w:val="22"/>
          <w:szCs w:val="22"/>
        </w:rPr>
        <w:t>王前龍</w:t>
      </w:r>
      <w:proofErr w:type="gramEnd"/>
      <w:r w:rsidRPr="00CB4BAD">
        <w:rPr>
          <w:rFonts w:hint="eastAsia"/>
          <w:sz w:val="22"/>
          <w:szCs w:val="22"/>
        </w:rPr>
        <w:t>（</w:t>
      </w:r>
      <w:r w:rsidRPr="00CB4BAD">
        <w:rPr>
          <w:rFonts w:hint="eastAsia"/>
          <w:sz w:val="22"/>
          <w:szCs w:val="22"/>
        </w:rPr>
        <w:t>2008</w:t>
      </w:r>
      <w:r w:rsidRPr="00CB4BAD">
        <w:rPr>
          <w:rFonts w:hint="eastAsia"/>
          <w:sz w:val="22"/>
          <w:szCs w:val="22"/>
        </w:rPr>
        <w:t>）。</w:t>
      </w:r>
      <w:r w:rsidRPr="00CB4BAD">
        <w:rPr>
          <w:rFonts w:hint="eastAsia"/>
          <w:b/>
          <w:sz w:val="22"/>
          <w:szCs w:val="22"/>
        </w:rPr>
        <w:t>民族教育夥伴關係發展之參與式行動研究</w:t>
      </w:r>
      <w:r w:rsidRPr="00CB4BAD">
        <w:rPr>
          <w:rFonts w:hint="eastAsia"/>
          <w:sz w:val="22"/>
          <w:szCs w:val="22"/>
        </w:rPr>
        <w:t>。</w:t>
      </w:r>
      <w:proofErr w:type="gramStart"/>
      <w:r w:rsidRPr="00CB4BAD">
        <w:rPr>
          <w:rFonts w:hint="eastAsia"/>
          <w:sz w:val="22"/>
          <w:szCs w:val="22"/>
        </w:rPr>
        <w:t>臺</w:t>
      </w:r>
      <w:proofErr w:type="gramEnd"/>
      <w:r w:rsidRPr="00CB4BAD">
        <w:rPr>
          <w:rFonts w:hint="eastAsia"/>
          <w:sz w:val="22"/>
          <w:szCs w:val="22"/>
        </w:rPr>
        <w:t>北：五南。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>姚如芬（</w:t>
      </w:r>
      <w:r w:rsidRPr="00CB4BAD">
        <w:rPr>
          <w:sz w:val="22"/>
          <w:szCs w:val="22"/>
        </w:rPr>
        <w:t>2014</w:t>
      </w:r>
      <w:r w:rsidRPr="00CB4BAD">
        <w:rPr>
          <w:rFonts w:hint="eastAsia"/>
          <w:sz w:val="22"/>
          <w:szCs w:val="22"/>
        </w:rPr>
        <w:t>）。當數學遇見原民文化</w:t>
      </w:r>
      <w:proofErr w:type="gramStart"/>
      <w:r w:rsidRPr="00CB4BAD">
        <w:rPr>
          <w:rFonts w:hint="cs"/>
          <w:sz w:val="22"/>
          <w:szCs w:val="22"/>
        </w:rPr>
        <w:t>――</w:t>
      </w:r>
      <w:proofErr w:type="gramEnd"/>
      <w:r w:rsidRPr="00CB4BAD">
        <w:rPr>
          <w:rFonts w:hint="eastAsia"/>
          <w:sz w:val="22"/>
          <w:szCs w:val="22"/>
        </w:rPr>
        <w:t>發展原民數學模組之個案研究。</w:t>
      </w:r>
      <w:r w:rsidRPr="00CB4BAD">
        <w:rPr>
          <w:rFonts w:hint="eastAsia"/>
          <w:b/>
          <w:sz w:val="22"/>
          <w:szCs w:val="22"/>
        </w:rPr>
        <w:t>科學教育學刊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b/>
          <w:sz w:val="22"/>
          <w:szCs w:val="22"/>
        </w:rPr>
        <w:t>22</w:t>
      </w:r>
      <w:r w:rsidRPr="00CB4BAD">
        <w:rPr>
          <w:sz w:val="22"/>
          <w:szCs w:val="22"/>
        </w:rPr>
        <w:t>(2)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sz w:val="22"/>
          <w:szCs w:val="22"/>
        </w:rPr>
        <w:t>135-161</w:t>
      </w:r>
      <w:r w:rsidRPr="00CB4BAD">
        <w:rPr>
          <w:rFonts w:hint="eastAsia"/>
          <w:sz w:val="22"/>
          <w:szCs w:val="22"/>
        </w:rPr>
        <w:t>。</w:t>
      </w:r>
      <w:proofErr w:type="spellStart"/>
      <w:r w:rsidRPr="00CB4BAD">
        <w:rPr>
          <w:sz w:val="22"/>
          <w:szCs w:val="22"/>
        </w:rPr>
        <w:t>doi</w:t>
      </w:r>
      <w:proofErr w:type="spellEnd"/>
      <w:r w:rsidRPr="00CB4BAD">
        <w:rPr>
          <w:sz w:val="22"/>
          <w:szCs w:val="22"/>
        </w:rPr>
        <w:t>: 10.6173/CJSE.2014.2202.02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>陳珍源、劉傳璽、李遠坤（</w:t>
      </w:r>
      <w:r w:rsidRPr="00CB4BAD">
        <w:rPr>
          <w:rFonts w:hint="eastAsia"/>
          <w:sz w:val="22"/>
          <w:szCs w:val="22"/>
        </w:rPr>
        <w:t>2014</w:t>
      </w:r>
      <w:r w:rsidRPr="00CB4BAD">
        <w:rPr>
          <w:rFonts w:hint="eastAsia"/>
          <w:sz w:val="22"/>
          <w:szCs w:val="22"/>
        </w:rPr>
        <w:t>年</w:t>
      </w:r>
      <w:r w:rsidRPr="00CB4BAD">
        <w:rPr>
          <w:sz w:val="22"/>
          <w:szCs w:val="22"/>
        </w:rPr>
        <w:t>，</w:t>
      </w:r>
      <w:r w:rsidRPr="00CB4BAD">
        <w:rPr>
          <w:rFonts w:hint="eastAsia"/>
          <w:sz w:val="22"/>
          <w:szCs w:val="22"/>
        </w:rPr>
        <w:t>10</w:t>
      </w:r>
      <w:r w:rsidRPr="00CB4BAD">
        <w:rPr>
          <w:rFonts w:hint="eastAsia"/>
          <w:sz w:val="22"/>
          <w:szCs w:val="22"/>
        </w:rPr>
        <w:t>月</w:t>
      </w:r>
      <w:r w:rsidRPr="00CB4BAD">
        <w:rPr>
          <w:sz w:val="22"/>
          <w:szCs w:val="22"/>
        </w:rPr>
        <w:t>）。</w:t>
      </w:r>
      <w:proofErr w:type="gramStart"/>
      <w:r w:rsidRPr="00CB4BAD">
        <w:rPr>
          <w:rFonts w:hint="eastAsia"/>
          <w:sz w:val="22"/>
          <w:szCs w:val="22"/>
        </w:rPr>
        <w:t>擴增實境</w:t>
      </w:r>
      <w:proofErr w:type="gramEnd"/>
      <w:r w:rsidRPr="00CB4BAD">
        <w:rPr>
          <w:rFonts w:hint="eastAsia"/>
          <w:sz w:val="22"/>
          <w:szCs w:val="22"/>
        </w:rPr>
        <w:t>技術應用於偏鄉原住民國小學童教材之開發設計</w:t>
      </w:r>
      <w:r w:rsidRPr="00CB4BAD">
        <w:rPr>
          <w:rFonts w:hint="eastAsia"/>
          <w:sz w:val="22"/>
          <w:szCs w:val="22"/>
        </w:rPr>
        <w:t>-</w:t>
      </w:r>
      <w:r w:rsidRPr="00CB4BAD">
        <w:rPr>
          <w:rFonts w:hint="eastAsia"/>
          <w:sz w:val="22"/>
          <w:szCs w:val="22"/>
        </w:rPr>
        <w:t>以彈簧遊戲為例。</w:t>
      </w:r>
      <w:r w:rsidRPr="00CB4BAD">
        <w:rPr>
          <w:sz w:val="22"/>
          <w:szCs w:val="22"/>
        </w:rPr>
        <w:t>論</w:t>
      </w:r>
      <w:r w:rsidRPr="00CB4BAD">
        <w:rPr>
          <w:rFonts w:hint="eastAsia"/>
          <w:sz w:val="22"/>
          <w:szCs w:val="22"/>
        </w:rPr>
        <w:t>文</w:t>
      </w:r>
      <w:r w:rsidRPr="00CB4BAD">
        <w:rPr>
          <w:sz w:val="22"/>
          <w:szCs w:val="22"/>
        </w:rPr>
        <w:t>發表於</w:t>
      </w:r>
      <w:r w:rsidRPr="00CB4BAD">
        <w:rPr>
          <w:rFonts w:hint="eastAsia"/>
          <w:sz w:val="22"/>
          <w:szCs w:val="22"/>
        </w:rPr>
        <w:t>TANET2014</w:t>
      </w:r>
      <w:r w:rsidRPr="00CB4BAD">
        <w:rPr>
          <w:rFonts w:hint="eastAsia"/>
          <w:sz w:val="22"/>
          <w:szCs w:val="22"/>
        </w:rPr>
        <w:t>臺灣網際網路研討會，</w:t>
      </w:r>
      <w:r w:rsidRPr="00CB4BAD">
        <w:rPr>
          <w:sz w:val="22"/>
          <w:szCs w:val="22"/>
        </w:rPr>
        <w:t>高雄。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>陳淑芳、郭重吉、許琳翊（</w:t>
      </w:r>
      <w:r w:rsidRPr="00CB4BAD">
        <w:rPr>
          <w:rFonts w:hint="eastAsia"/>
          <w:sz w:val="22"/>
          <w:szCs w:val="22"/>
        </w:rPr>
        <w:t>2010</w:t>
      </w:r>
      <w:r w:rsidRPr="00CB4BAD">
        <w:rPr>
          <w:rFonts w:hint="eastAsia"/>
          <w:sz w:val="22"/>
          <w:szCs w:val="22"/>
        </w:rPr>
        <w:t>）。從「山豬獵人」看見原住民兒童在生活課程的學習。收</w:t>
      </w:r>
      <w:r w:rsidRPr="00CB4BAD">
        <w:rPr>
          <w:sz w:val="22"/>
          <w:szCs w:val="22"/>
        </w:rPr>
        <w:t>錄於</w:t>
      </w:r>
      <w:r w:rsidRPr="00CB4BAD">
        <w:rPr>
          <w:rFonts w:hint="eastAsia"/>
          <w:sz w:val="22"/>
          <w:szCs w:val="22"/>
        </w:rPr>
        <w:t>教育部課程與教學輔導組生活課程輔導群（主編</w:t>
      </w:r>
      <w:r w:rsidRPr="00CB4BAD">
        <w:rPr>
          <w:sz w:val="22"/>
          <w:szCs w:val="22"/>
        </w:rPr>
        <w:t>）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rFonts w:hint="eastAsia"/>
          <w:b/>
          <w:sz w:val="22"/>
          <w:szCs w:val="22"/>
        </w:rPr>
        <w:t>看見孩子的世界：悠遊生活課程研討會論文集</w:t>
      </w:r>
      <w:r w:rsidRPr="00CB4BAD">
        <w:rPr>
          <w:rFonts w:hint="eastAsia"/>
          <w:sz w:val="22"/>
          <w:szCs w:val="22"/>
        </w:rPr>
        <w:t>（頁</w:t>
      </w:r>
      <w:r w:rsidRPr="00CB4BAD">
        <w:rPr>
          <w:rFonts w:hint="eastAsia"/>
          <w:sz w:val="22"/>
          <w:szCs w:val="22"/>
        </w:rPr>
        <w:t>105-118</w:t>
      </w:r>
      <w:r w:rsidRPr="00CB4BAD">
        <w:rPr>
          <w:rFonts w:hint="eastAsia"/>
          <w:sz w:val="22"/>
          <w:szCs w:val="22"/>
        </w:rPr>
        <w:t>）。臺北縣：國家教育研究院籌備處。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lastRenderedPageBreak/>
        <w:t>黃思華（</w:t>
      </w:r>
      <w:r w:rsidRPr="00CB4BAD">
        <w:rPr>
          <w:rFonts w:hint="eastAsia"/>
          <w:sz w:val="22"/>
          <w:szCs w:val="22"/>
        </w:rPr>
        <w:t>2014</w:t>
      </w:r>
      <w:r w:rsidRPr="00CB4BAD">
        <w:rPr>
          <w:rFonts w:hint="eastAsia"/>
          <w:sz w:val="22"/>
          <w:szCs w:val="22"/>
        </w:rPr>
        <w:t>）。互動式電子書對原住民高中職學生閱讀理解能力之研究。</w:t>
      </w:r>
      <w:r w:rsidRPr="00CB4BAD">
        <w:rPr>
          <w:rFonts w:hint="eastAsia"/>
          <w:b/>
          <w:sz w:val="22"/>
          <w:szCs w:val="22"/>
        </w:rPr>
        <w:t>教育科技與學習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rFonts w:hint="eastAsia"/>
          <w:b/>
          <w:sz w:val="22"/>
          <w:szCs w:val="22"/>
        </w:rPr>
        <w:t>2</w:t>
      </w:r>
      <w:r w:rsidRPr="00CB4BAD">
        <w:rPr>
          <w:rFonts w:hint="eastAsia"/>
          <w:sz w:val="22"/>
          <w:szCs w:val="22"/>
        </w:rPr>
        <w:t>(2)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rFonts w:hint="eastAsia"/>
          <w:sz w:val="22"/>
          <w:szCs w:val="22"/>
        </w:rPr>
        <w:t>143-164</w:t>
      </w:r>
      <w:r w:rsidRPr="00CB4BAD">
        <w:rPr>
          <w:rFonts w:hint="eastAsia"/>
          <w:sz w:val="22"/>
          <w:szCs w:val="22"/>
        </w:rPr>
        <w:t>。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>熊同鑫、蔡瑞君（</w:t>
      </w:r>
      <w:r w:rsidRPr="00CB4BAD">
        <w:rPr>
          <w:rFonts w:hint="eastAsia"/>
          <w:sz w:val="22"/>
          <w:szCs w:val="22"/>
        </w:rPr>
        <w:t>2009</w:t>
      </w:r>
      <w:r w:rsidRPr="00CB4BAD">
        <w:rPr>
          <w:rFonts w:hint="eastAsia"/>
          <w:sz w:val="22"/>
          <w:szCs w:val="22"/>
        </w:rPr>
        <w:t>）。文化回應於原住民族科學課程與能力指標發展之探究。</w:t>
      </w:r>
      <w:r w:rsidRPr="00CB4BAD">
        <w:rPr>
          <w:rFonts w:hint="eastAsia"/>
          <w:b/>
          <w:sz w:val="22"/>
          <w:szCs w:val="22"/>
        </w:rPr>
        <w:t>教育資料與研究</w:t>
      </w:r>
      <w:r w:rsidRPr="00CB4BAD">
        <w:rPr>
          <w:b/>
          <w:sz w:val="22"/>
          <w:szCs w:val="22"/>
        </w:rPr>
        <w:t>，</w:t>
      </w:r>
      <w:r w:rsidRPr="00CB4BAD">
        <w:rPr>
          <w:b/>
          <w:sz w:val="22"/>
          <w:szCs w:val="22"/>
        </w:rPr>
        <w:t>87</w:t>
      </w:r>
      <w:r w:rsidRPr="00CB4BAD">
        <w:rPr>
          <w:sz w:val="22"/>
          <w:szCs w:val="22"/>
        </w:rPr>
        <w:t>，</w:t>
      </w:r>
      <w:r w:rsidRPr="00CB4BAD">
        <w:rPr>
          <w:sz w:val="22"/>
          <w:szCs w:val="22"/>
        </w:rPr>
        <w:t>163-179</w:t>
      </w:r>
      <w:r w:rsidRPr="00CB4BAD">
        <w:rPr>
          <w:sz w:val="22"/>
          <w:szCs w:val="22"/>
        </w:rPr>
        <w:t>。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>趙貞怡（</w:t>
      </w:r>
      <w:r w:rsidRPr="00CB4BAD">
        <w:rPr>
          <w:rFonts w:hint="eastAsia"/>
          <w:sz w:val="22"/>
          <w:szCs w:val="22"/>
        </w:rPr>
        <w:t>2013</w:t>
      </w:r>
      <w:r w:rsidRPr="00CB4BAD">
        <w:rPr>
          <w:rFonts w:hint="eastAsia"/>
          <w:sz w:val="22"/>
          <w:szCs w:val="22"/>
        </w:rPr>
        <w:t>）。原住民學童在電腦樂高機器人課程中的創造力與團隊合作能力。</w:t>
      </w:r>
      <w:r w:rsidRPr="00CB4BAD">
        <w:rPr>
          <w:rFonts w:hint="eastAsia"/>
          <w:b/>
          <w:sz w:val="22"/>
          <w:szCs w:val="22"/>
        </w:rPr>
        <w:t>教育實踐與研究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rFonts w:hint="eastAsia"/>
          <w:b/>
          <w:sz w:val="22"/>
          <w:szCs w:val="22"/>
        </w:rPr>
        <w:t>26</w:t>
      </w:r>
      <w:r w:rsidRPr="00CB4BAD">
        <w:rPr>
          <w:rFonts w:hint="eastAsia"/>
          <w:sz w:val="22"/>
          <w:szCs w:val="22"/>
        </w:rPr>
        <w:t>(1)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rFonts w:hint="eastAsia"/>
          <w:sz w:val="22"/>
          <w:szCs w:val="22"/>
        </w:rPr>
        <w:t>33-62</w:t>
      </w:r>
      <w:r w:rsidRPr="00CB4BAD">
        <w:rPr>
          <w:rFonts w:hint="eastAsia"/>
          <w:sz w:val="22"/>
          <w:szCs w:val="22"/>
        </w:rPr>
        <w:t>。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>高慧蓮、張靜儀、蘇宇萍、徐玉雲（</w:t>
      </w:r>
      <w:r w:rsidRPr="00CB4BAD">
        <w:rPr>
          <w:rFonts w:hint="eastAsia"/>
          <w:sz w:val="22"/>
          <w:szCs w:val="22"/>
        </w:rPr>
        <w:t>2011</w:t>
      </w:r>
      <w:r w:rsidRPr="00CB4BAD">
        <w:rPr>
          <w:sz w:val="22"/>
          <w:szCs w:val="22"/>
        </w:rPr>
        <w:t>）。</w:t>
      </w:r>
      <w:r w:rsidRPr="00CB4BAD">
        <w:rPr>
          <w:rFonts w:hint="eastAsia"/>
          <w:sz w:val="22"/>
          <w:szCs w:val="22"/>
        </w:rPr>
        <w:t>排灣族教師教學個案研究</w:t>
      </w:r>
      <w:r w:rsidRPr="00CB4BAD">
        <w:rPr>
          <w:rFonts w:hint="eastAsia"/>
          <w:sz w:val="22"/>
          <w:szCs w:val="22"/>
        </w:rPr>
        <w:t>--</w:t>
      </w:r>
      <w:r w:rsidRPr="00CB4BAD">
        <w:rPr>
          <w:rFonts w:hint="eastAsia"/>
          <w:sz w:val="22"/>
          <w:szCs w:val="22"/>
        </w:rPr>
        <w:t>文化融入數學課程的教學反思。</w:t>
      </w:r>
      <w:r w:rsidRPr="00CB4BAD">
        <w:rPr>
          <w:rFonts w:hint="eastAsia"/>
          <w:b/>
          <w:sz w:val="22"/>
          <w:szCs w:val="22"/>
        </w:rPr>
        <w:t>屏東教大科學教育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rFonts w:hint="eastAsia"/>
          <w:b/>
          <w:sz w:val="22"/>
          <w:szCs w:val="22"/>
        </w:rPr>
        <w:t>34</w:t>
      </w:r>
      <w:r w:rsidRPr="00CB4BAD">
        <w:rPr>
          <w:rFonts w:hint="eastAsia"/>
          <w:sz w:val="22"/>
          <w:szCs w:val="22"/>
        </w:rPr>
        <w:t>，</w:t>
      </w:r>
      <w:r w:rsidRPr="00CB4BAD">
        <w:rPr>
          <w:rFonts w:hint="eastAsia"/>
          <w:sz w:val="22"/>
          <w:szCs w:val="22"/>
        </w:rPr>
        <w:t>56-72</w:t>
      </w:r>
      <w:r w:rsidRPr="00CB4BAD">
        <w:rPr>
          <w:rFonts w:hint="eastAsia"/>
          <w:sz w:val="22"/>
          <w:szCs w:val="22"/>
        </w:rPr>
        <w:t>。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 xml:space="preserve">Chang, F. </w:t>
      </w:r>
      <w:r w:rsidRPr="00CB4BAD">
        <w:rPr>
          <w:sz w:val="22"/>
          <w:szCs w:val="22"/>
        </w:rPr>
        <w:t xml:space="preserve">T. Y., &amp; Lin, C. H. (2014, April). </w:t>
      </w:r>
      <w:r w:rsidRPr="00CB4BAD">
        <w:rPr>
          <w:i/>
          <w:sz w:val="22"/>
          <w:szCs w:val="22"/>
        </w:rPr>
        <w:t>Application of computing cloud for indigenous primary school students in learning science and mathematics</w:t>
      </w:r>
      <w:r w:rsidRPr="00CB4BAD">
        <w:rPr>
          <w:sz w:val="22"/>
          <w:szCs w:val="22"/>
        </w:rPr>
        <w:t>. Paper presented at the Asian Conference on Arts and Humanities 2014, Japan.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>Chang, J.-</w:t>
      </w:r>
      <w:r w:rsidRPr="00CB4BAD">
        <w:rPr>
          <w:sz w:val="22"/>
          <w:szCs w:val="22"/>
        </w:rPr>
        <w:t>M., Lee, H., &amp; Yen, C.-F. (2010). Alternative conceptions about burning held by Atayal indigene students in Taiwan. I</w:t>
      </w:r>
      <w:r w:rsidRPr="00CB4BAD">
        <w:rPr>
          <w:i/>
          <w:sz w:val="22"/>
          <w:szCs w:val="22"/>
        </w:rPr>
        <w:t>nternational Journal of Science and Mathematics Education</w:t>
      </w:r>
      <w:r w:rsidRPr="00CB4BAD">
        <w:rPr>
          <w:sz w:val="22"/>
          <w:szCs w:val="22"/>
        </w:rPr>
        <w:t xml:space="preserve">, </w:t>
      </w:r>
      <w:r w:rsidRPr="00CB4BAD">
        <w:rPr>
          <w:i/>
          <w:sz w:val="22"/>
          <w:szCs w:val="22"/>
        </w:rPr>
        <w:t>8</w:t>
      </w:r>
      <w:r w:rsidRPr="00CB4BAD">
        <w:rPr>
          <w:sz w:val="22"/>
          <w:szCs w:val="22"/>
        </w:rPr>
        <w:t xml:space="preserve">, 911-935. </w:t>
      </w:r>
      <w:proofErr w:type="spellStart"/>
      <w:r w:rsidRPr="00CB4BAD">
        <w:rPr>
          <w:sz w:val="22"/>
          <w:szCs w:val="22"/>
        </w:rPr>
        <w:t>doi</w:t>
      </w:r>
      <w:proofErr w:type="spellEnd"/>
      <w:r w:rsidRPr="00CB4BAD">
        <w:rPr>
          <w:sz w:val="22"/>
          <w:szCs w:val="22"/>
        </w:rPr>
        <w:t>: 10.1007/s10763-009-9192-9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 xml:space="preserve">Greer, B., &amp; </w:t>
      </w:r>
      <w:proofErr w:type="spellStart"/>
      <w:r w:rsidRPr="00CB4BAD">
        <w:rPr>
          <w:sz w:val="22"/>
          <w:szCs w:val="22"/>
        </w:rPr>
        <w:t>Mukhopadhyay</w:t>
      </w:r>
      <w:proofErr w:type="spellEnd"/>
      <w:r w:rsidRPr="00CB4BAD">
        <w:rPr>
          <w:sz w:val="22"/>
          <w:szCs w:val="22"/>
        </w:rPr>
        <w:t xml:space="preserve">, S. (2009). </w:t>
      </w:r>
      <w:r w:rsidRPr="00CB4BAD">
        <w:rPr>
          <w:i/>
          <w:sz w:val="22"/>
          <w:szCs w:val="22"/>
        </w:rPr>
        <w:t>Culturally responsive mathematics education</w:t>
      </w:r>
      <w:r w:rsidRPr="00CB4BAD">
        <w:rPr>
          <w:sz w:val="22"/>
          <w:szCs w:val="22"/>
        </w:rPr>
        <w:t>. New York, NY: Routledge.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proofErr w:type="spellStart"/>
      <w:r w:rsidRPr="00CB4BAD">
        <w:rPr>
          <w:sz w:val="22"/>
          <w:szCs w:val="22"/>
        </w:rPr>
        <w:t>Husiung</w:t>
      </w:r>
      <w:proofErr w:type="spellEnd"/>
      <w:r w:rsidRPr="00CB4BAD">
        <w:rPr>
          <w:sz w:val="22"/>
          <w:szCs w:val="22"/>
        </w:rPr>
        <w:t>,</w:t>
      </w:r>
      <w:r w:rsidRPr="00CB4BAD">
        <w:rPr>
          <w:rFonts w:hint="eastAsia"/>
          <w:sz w:val="22"/>
          <w:szCs w:val="22"/>
        </w:rPr>
        <w:t xml:space="preserve"> </w:t>
      </w:r>
      <w:r w:rsidRPr="00CB4BAD">
        <w:rPr>
          <w:sz w:val="22"/>
          <w:szCs w:val="22"/>
        </w:rPr>
        <w:t>T. H. (2010). The integration of the Amis culture and science conceptions to design elementary science curriculum</w:t>
      </w:r>
      <w:r w:rsidRPr="00CB4BAD">
        <w:rPr>
          <w:rFonts w:hint="eastAsia"/>
          <w:sz w:val="22"/>
          <w:szCs w:val="22"/>
        </w:rPr>
        <w:t>. In D.</w:t>
      </w:r>
      <w:r w:rsidRPr="00CB4BAD">
        <w:rPr>
          <w:sz w:val="22"/>
          <w:szCs w:val="22"/>
        </w:rPr>
        <w:t xml:space="preserve"> </w:t>
      </w:r>
      <w:r w:rsidRPr="00CB4BAD">
        <w:rPr>
          <w:rFonts w:hint="eastAsia"/>
          <w:sz w:val="22"/>
          <w:szCs w:val="22"/>
        </w:rPr>
        <w:t>F. Berlin &amp;</w:t>
      </w:r>
      <w:r w:rsidRPr="00CB4BAD">
        <w:rPr>
          <w:sz w:val="22"/>
          <w:szCs w:val="22"/>
        </w:rPr>
        <w:t xml:space="preserve"> L. White (Eds.), </w:t>
      </w:r>
      <w:r w:rsidRPr="00CB4BAD">
        <w:rPr>
          <w:i/>
          <w:sz w:val="22"/>
          <w:szCs w:val="22"/>
        </w:rPr>
        <w:t>Promising practices to meet global challenges in science and mathematics education</w:t>
      </w:r>
      <w:r w:rsidRPr="00CB4BAD">
        <w:rPr>
          <w:sz w:val="22"/>
          <w:szCs w:val="22"/>
        </w:rPr>
        <w:t xml:space="preserve"> (pp.13-22). Ohio: Ohio State University.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proofErr w:type="spellStart"/>
      <w:r w:rsidRPr="00CB4BAD">
        <w:rPr>
          <w:sz w:val="22"/>
          <w:szCs w:val="22"/>
        </w:rPr>
        <w:t>Kanu</w:t>
      </w:r>
      <w:proofErr w:type="spellEnd"/>
      <w:r w:rsidRPr="00CB4BAD">
        <w:rPr>
          <w:sz w:val="22"/>
          <w:szCs w:val="22"/>
        </w:rPr>
        <w:t xml:space="preserve">, Y. (2011). </w:t>
      </w:r>
      <w:r w:rsidRPr="00CB4BAD">
        <w:rPr>
          <w:i/>
          <w:sz w:val="22"/>
          <w:szCs w:val="22"/>
        </w:rPr>
        <w:t>Integrating aboriginal perspectives into the school curriculum: Purposes, possibilities, and challenges</w:t>
      </w:r>
      <w:r w:rsidRPr="00CB4BAD">
        <w:rPr>
          <w:sz w:val="22"/>
          <w:szCs w:val="22"/>
        </w:rPr>
        <w:t>. Toronto: University of Toronto Press.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sz w:val="22"/>
          <w:szCs w:val="22"/>
        </w:rPr>
        <w:t xml:space="preserve">Kao, M. W., Liu, Y. C., &amp; </w:t>
      </w:r>
      <w:r w:rsidRPr="00CB4BAD">
        <w:rPr>
          <w:rFonts w:hint="eastAsia"/>
          <w:sz w:val="22"/>
          <w:szCs w:val="22"/>
        </w:rPr>
        <w:t>Huang, T. H. (201</w:t>
      </w:r>
      <w:r w:rsidRPr="00CB4BAD">
        <w:rPr>
          <w:sz w:val="22"/>
          <w:szCs w:val="22"/>
        </w:rPr>
        <w:t>4</w:t>
      </w:r>
      <w:r w:rsidRPr="00CB4BAD">
        <w:rPr>
          <w:rFonts w:hint="eastAsia"/>
          <w:sz w:val="22"/>
          <w:szCs w:val="22"/>
        </w:rPr>
        <w:t>).</w:t>
      </w:r>
      <w:r w:rsidRPr="00CB4BAD">
        <w:rPr>
          <w:sz w:val="22"/>
          <w:szCs w:val="22"/>
        </w:rPr>
        <w:t xml:space="preserve"> Establishment and evaluation of science curriculum development principles for Taiwan indigenous peoples. </w:t>
      </w:r>
      <w:r w:rsidRPr="00CB4BAD">
        <w:rPr>
          <w:i/>
          <w:sz w:val="22"/>
          <w:szCs w:val="22"/>
        </w:rPr>
        <w:t>Social Science Research Network</w:t>
      </w:r>
      <w:r w:rsidRPr="00CB4BAD">
        <w:rPr>
          <w:sz w:val="22"/>
          <w:szCs w:val="22"/>
        </w:rPr>
        <w:t>. Retrieved form http://dx.doi.org/10.2139/ssrn.2463208</w:t>
      </w:r>
    </w:p>
    <w:p w:rsidR="00CB4BAD" w:rsidRPr="00CB4BAD" w:rsidRDefault="00CB4BAD" w:rsidP="00CB4BAD">
      <w:pPr>
        <w:snapToGrid w:val="0"/>
        <w:spacing w:beforeLines="30" w:before="130" w:afterLines="30" w:after="130" w:line="240" w:lineRule="atLeast"/>
        <w:ind w:left="880" w:hangingChars="400" w:hanging="880"/>
        <w:jc w:val="both"/>
        <w:rPr>
          <w:sz w:val="22"/>
          <w:szCs w:val="22"/>
        </w:rPr>
      </w:pPr>
      <w:r w:rsidRPr="00CB4BAD">
        <w:rPr>
          <w:rFonts w:hint="eastAsia"/>
          <w:sz w:val="22"/>
          <w:szCs w:val="22"/>
        </w:rPr>
        <w:t xml:space="preserve">Wang, M. H. (2013, </w:t>
      </w:r>
      <w:r w:rsidRPr="00CB4BAD">
        <w:rPr>
          <w:sz w:val="22"/>
          <w:szCs w:val="22"/>
        </w:rPr>
        <w:t xml:space="preserve">August). </w:t>
      </w:r>
      <w:r w:rsidRPr="00CB4BAD">
        <w:rPr>
          <w:i/>
          <w:sz w:val="22"/>
          <w:szCs w:val="22"/>
        </w:rPr>
        <w:t xml:space="preserve">Indigenous struggle for river governance: Reconciling traditional ecological wisdom with modern state’s management, a case of </w:t>
      </w:r>
      <w:proofErr w:type="spellStart"/>
      <w:r w:rsidRPr="00CB4BAD">
        <w:rPr>
          <w:i/>
          <w:sz w:val="22"/>
          <w:szCs w:val="22"/>
        </w:rPr>
        <w:t>Tayal</w:t>
      </w:r>
      <w:proofErr w:type="spellEnd"/>
      <w:r w:rsidRPr="00CB4BAD">
        <w:rPr>
          <w:i/>
          <w:sz w:val="22"/>
          <w:szCs w:val="22"/>
        </w:rPr>
        <w:t xml:space="preserve"> peoples in Northern Taiwan</w:t>
      </w:r>
      <w:r w:rsidRPr="00CB4BAD">
        <w:rPr>
          <w:sz w:val="22"/>
          <w:szCs w:val="22"/>
        </w:rPr>
        <w:t>. Paper presented at the</w:t>
      </w:r>
      <w:r w:rsidRPr="00CB4BAD">
        <w:rPr>
          <w:rFonts w:hint="eastAsia"/>
          <w:sz w:val="22"/>
          <w:szCs w:val="22"/>
        </w:rPr>
        <w:t xml:space="preserve"> Kyoto Regional Conference of the International Geographical Union,</w:t>
      </w:r>
      <w:r w:rsidRPr="00CB4BAD">
        <w:rPr>
          <w:sz w:val="22"/>
          <w:szCs w:val="22"/>
        </w:rPr>
        <w:t xml:space="preserve"> </w:t>
      </w:r>
      <w:r w:rsidRPr="00CB4BAD">
        <w:rPr>
          <w:rFonts w:hint="eastAsia"/>
          <w:sz w:val="22"/>
          <w:szCs w:val="22"/>
        </w:rPr>
        <w:t>Kyoto, Japan</w:t>
      </w:r>
      <w:r w:rsidRPr="00CB4BAD">
        <w:rPr>
          <w:sz w:val="22"/>
          <w:szCs w:val="22"/>
        </w:rPr>
        <w:t>.</w:t>
      </w:r>
    </w:p>
    <w:p w:rsidR="00CB4BAD" w:rsidRPr="00CB4BAD" w:rsidRDefault="00CB4BAD" w:rsidP="00CB4BAD">
      <w:pPr>
        <w:snapToGrid w:val="0"/>
        <w:spacing w:line="600" w:lineRule="exact"/>
        <w:outlineLvl w:val="1"/>
        <w:rPr>
          <w:rFonts w:eastAsia="新細明體"/>
          <w:sz w:val="24"/>
          <w:szCs w:val="20"/>
        </w:rPr>
      </w:pPr>
    </w:p>
    <w:p w:rsidR="00CB4BAD" w:rsidRPr="00CB4BAD" w:rsidRDefault="00CB4BAD" w:rsidP="00CB4BAD">
      <w:pPr>
        <w:pStyle w:val="a3"/>
        <w:adjustRightInd w:val="0"/>
        <w:snapToGrid w:val="0"/>
        <w:spacing w:beforeLines="50" w:before="217"/>
        <w:ind w:left="0" w:firstLineChars="0" w:firstLine="0"/>
        <w:jc w:val="both"/>
        <w:rPr>
          <w:rFonts w:eastAsia="標楷體"/>
          <w:color w:val="000000"/>
          <w:sz w:val="24"/>
          <w:lang w:val="en-US" w:eastAsia="zh-TW"/>
        </w:rPr>
      </w:pPr>
    </w:p>
    <w:sectPr w:rsidR="00CB4BAD" w:rsidRPr="00CB4BAD" w:rsidSect="00CB4BAD"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28" w:rsidRDefault="00A97628" w:rsidP="00CB4BAD">
      <w:r>
        <w:separator/>
      </w:r>
    </w:p>
  </w:endnote>
  <w:endnote w:type="continuationSeparator" w:id="0">
    <w:p w:rsidR="00A97628" w:rsidRDefault="00A97628" w:rsidP="00CB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28" w:rsidRDefault="00A97628" w:rsidP="00CB4BAD">
      <w:r>
        <w:separator/>
      </w:r>
    </w:p>
  </w:footnote>
  <w:footnote w:type="continuationSeparator" w:id="0">
    <w:p w:rsidR="00A97628" w:rsidRDefault="00A97628" w:rsidP="00CB4BAD">
      <w:r>
        <w:continuationSeparator/>
      </w:r>
    </w:p>
  </w:footnote>
  <w:footnote w:id="1">
    <w:p w:rsidR="00C23D9C" w:rsidRPr="005749FB" w:rsidRDefault="00C23D9C" w:rsidP="00CB4BAD">
      <w:pPr>
        <w:pStyle w:val="a7"/>
        <w:ind w:left="180" w:hangingChars="90" w:hanging="180"/>
        <w:rPr>
          <w:rFonts w:eastAsia="標楷體"/>
        </w:rPr>
      </w:pPr>
      <w:r w:rsidRPr="005749FB">
        <w:rPr>
          <w:rStyle w:val="a9"/>
          <w:rFonts w:eastAsia="標楷體"/>
        </w:rPr>
        <w:footnoteRef/>
      </w:r>
      <w:r>
        <w:rPr>
          <w:rFonts w:eastAsia="標楷體" w:hint="eastAsia"/>
          <w:bCs/>
        </w:rPr>
        <w:t>國立</w:t>
      </w:r>
      <w:proofErr w:type="gramStart"/>
      <w:r>
        <w:rPr>
          <w:rFonts w:eastAsia="標楷體" w:hint="eastAsia"/>
          <w:bCs/>
        </w:rPr>
        <w:t>臺</w:t>
      </w:r>
      <w:proofErr w:type="gramEnd"/>
      <w:r w:rsidRPr="005749FB">
        <w:rPr>
          <w:rFonts w:eastAsia="標楷體"/>
          <w:bCs/>
        </w:rPr>
        <w:t>東大學</w:t>
      </w:r>
      <w:r>
        <w:rPr>
          <w:rFonts w:eastAsia="標楷體" w:hint="eastAsia"/>
          <w:bCs/>
        </w:rPr>
        <w:t>幼兒教育學</w:t>
      </w:r>
      <w:r w:rsidRPr="005749FB">
        <w:rPr>
          <w:rFonts w:eastAsia="標楷體"/>
          <w:bCs/>
        </w:rPr>
        <w:t>系教授</w:t>
      </w:r>
      <w:r w:rsidRPr="005749FB">
        <w:rPr>
          <w:rFonts w:eastAsia="標楷體"/>
          <w:bCs/>
        </w:rPr>
        <w:t>(</w:t>
      </w:r>
      <w:r>
        <w:rPr>
          <w:rFonts w:eastAsia="標楷體" w:hint="eastAsia"/>
          <w:bCs/>
          <w:lang w:eastAsia="zh-HK"/>
        </w:rPr>
        <w:t>通作者</w:t>
      </w:r>
      <w:r>
        <w:rPr>
          <w:rFonts w:eastAsia="標楷體" w:hint="eastAsia"/>
          <w:bCs/>
        </w:rPr>
        <w:t>，</w:t>
      </w:r>
      <w:r w:rsidRPr="005749FB">
        <w:rPr>
          <w:rFonts w:eastAsia="標楷體"/>
          <w:bCs/>
        </w:rPr>
        <w:t>聯絡地址：</w:t>
      </w:r>
      <w:r w:rsidRPr="00F26256">
        <w:rPr>
          <w:rFonts w:eastAsia="標楷體" w:hint="eastAsia"/>
          <w:bCs/>
        </w:rPr>
        <w:t>95002</w:t>
      </w:r>
      <w:proofErr w:type="gramStart"/>
      <w:r w:rsidRPr="00F26256">
        <w:rPr>
          <w:rFonts w:eastAsia="標楷體" w:hint="eastAsia"/>
          <w:bCs/>
        </w:rPr>
        <w:t>臺</w:t>
      </w:r>
      <w:proofErr w:type="gramEnd"/>
      <w:r w:rsidRPr="00F26256">
        <w:rPr>
          <w:rFonts w:eastAsia="標楷體" w:hint="eastAsia"/>
          <w:bCs/>
        </w:rPr>
        <w:t>東市中華路一段</w:t>
      </w:r>
      <w:r w:rsidRPr="00F26256">
        <w:rPr>
          <w:rFonts w:eastAsia="標楷體" w:hint="eastAsia"/>
          <w:bCs/>
        </w:rPr>
        <w:t>684</w:t>
      </w:r>
      <w:r w:rsidRPr="00F26256">
        <w:rPr>
          <w:rFonts w:eastAsia="標楷體" w:hint="eastAsia"/>
          <w:bCs/>
        </w:rPr>
        <w:t>號</w:t>
      </w:r>
      <w:r w:rsidRPr="005749FB">
        <w:rPr>
          <w:rFonts w:eastAsia="標楷體"/>
          <w:bCs/>
        </w:rPr>
        <w:t>聯絡</w:t>
      </w:r>
      <w:r w:rsidRPr="00F26256">
        <w:rPr>
          <w:rFonts w:eastAsia="標楷體" w:hint="eastAsia"/>
          <w:bCs/>
        </w:rPr>
        <w:t>電話：</w:t>
      </w:r>
      <w:r w:rsidRPr="00F26256">
        <w:rPr>
          <w:rFonts w:eastAsia="標楷體" w:hint="eastAsia"/>
          <w:bCs/>
        </w:rPr>
        <w:t>089-3</w:t>
      </w:r>
      <w:r>
        <w:rPr>
          <w:rFonts w:eastAsia="標楷體" w:hint="eastAsia"/>
          <w:bCs/>
        </w:rPr>
        <w:t>60045</w:t>
      </w:r>
      <w:r w:rsidRPr="005749FB">
        <w:rPr>
          <w:rFonts w:eastAsia="標楷體"/>
          <w:bCs/>
        </w:rPr>
        <w:t>，</w:t>
      </w:r>
      <w:r w:rsidRPr="005749FB">
        <w:rPr>
          <w:rFonts w:eastAsia="標楷體"/>
          <w:bCs/>
        </w:rPr>
        <w:t xml:space="preserve">E-mail: </w:t>
      </w:r>
      <w:r w:rsidRPr="00653E9E">
        <w:rPr>
          <w:rFonts w:eastAsia="標楷體"/>
          <w:bCs/>
        </w:rPr>
        <w:t>thhsiung1022@gmail.com</w:t>
      </w:r>
      <w:r w:rsidRPr="005749FB">
        <w:rPr>
          <w:rFonts w:eastAsia="標楷體"/>
          <w:bCs/>
        </w:rPr>
        <w:t>)</w:t>
      </w:r>
      <w:r w:rsidRPr="005749FB">
        <w:rPr>
          <w:rFonts w:eastAsia="標楷體"/>
          <w:bCs/>
        </w:rPr>
        <w:t>。</w:t>
      </w:r>
    </w:p>
  </w:footnote>
  <w:footnote w:id="2">
    <w:p w:rsidR="00C23D9C" w:rsidRDefault="00C23D9C" w:rsidP="00CB4BAD">
      <w:pPr>
        <w:pStyle w:val="a7"/>
        <w:ind w:left="180" w:hangingChars="90" w:hanging="180"/>
      </w:pPr>
      <w:r w:rsidRPr="005749FB">
        <w:rPr>
          <w:rStyle w:val="a9"/>
          <w:rFonts w:eastAsia="標楷體"/>
        </w:rPr>
        <w:footnoteRef/>
      </w:r>
      <w:r>
        <w:rPr>
          <w:rFonts w:eastAsia="標楷體" w:hint="eastAsia"/>
          <w:bCs/>
        </w:rPr>
        <w:t>國立</w:t>
      </w:r>
      <w:proofErr w:type="gramStart"/>
      <w:r>
        <w:rPr>
          <w:rFonts w:eastAsia="標楷體" w:hint="eastAsia"/>
          <w:bCs/>
        </w:rPr>
        <w:t>臺</w:t>
      </w:r>
      <w:proofErr w:type="gramEnd"/>
      <w:r w:rsidRPr="005749FB">
        <w:rPr>
          <w:rFonts w:eastAsia="標楷體"/>
          <w:bCs/>
        </w:rPr>
        <w:t>東大學</w:t>
      </w:r>
      <w:r>
        <w:rPr>
          <w:rFonts w:eastAsia="標楷體" w:hint="eastAsia"/>
          <w:bCs/>
        </w:rPr>
        <w:t>幼兒教育學</w:t>
      </w:r>
      <w:r w:rsidRPr="005749FB">
        <w:rPr>
          <w:rFonts w:eastAsia="標楷體"/>
          <w:bCs/>
        </w:rPr>
        <w:t>系副教授。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9E"/>
    <w:multiLevelType w:val="hybridMultilevel"/>
    <w:tmpl w:val="89341F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75493"/>
    <w:multiLevelType w:val="hybridMultilevel"/>
    <w:tmpl w:val="93269298"/>
    <w:lvl w:ilvl="0" w:tplc="F746E14A">
      <w:start w:val="1"/>
      <w:numFmt w:val="taiwaneseCountingThousand"/>
      <w:lvlText w:val="%1、"/>
      <w:lvlJc w:val="left"/>
      <w:pPr>
        <w:tabs>
          <w:tab w:val="num" w:pos="846"/>
        </w:tabs>
        <w:ind w:left="8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6"/>
        </w:tabs>
        <w:ind w:left="1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6"/>
        </w:tabs>
        <w:ind w:left="2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6"/>
        </w:tabs>
        <w:ind w:left="4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6"/>
        </w:tabs>
        <w:ind w:left="4686" w:hanging="480"/>
      </w:pPr>
    </w:lvl>
  </w:abstractNum>
  <w:abstractNum w:abstractNumId="2" w15:restartNumberingAfterBreak="0">
    <w:nsid w:val="14407CD6"/>
    <w:multiLevelType w:val="hybridMultilevel"/>
    <w:tmpl w:val="5B7AB356"/>
    <w:lvl w:ilvl="0" w:tplc="F81C0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C3A3F"/>
    <w:multiLevelType w:val="hybridMultilevel"/>
    <w:tmpl w:val="71F2BEF0"/>
    <w:lvl w:ilvl="0" w:tplc="E0D870B6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B13711"/>
    <w:multiLevelType w:val="hybridMultilevel"/>
    <w:tmpl w:val="8324A044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19760446"/>
    <w:multiLevelType w:val="hybridMultilevel"/>
    <w:tmpl w:val="5A422854"/>
    <w:lvl w:ilvl="0" w:tplc="AA98F8EE">
      <w:start w:val="1"/>
      <w:numFmt w:val="taiwaneseCountingThousand"/>
      <w:lvlText w:val="%1、"/>
      <w:lvlJc w:val="left"/>
      <w:pPr>
        <w:ind w:left="1146" w:hanging="720"/>
      </w:pPr>
      <w:rPr>
        <w:rFonts w:ascii="Times New Roman" w:eastAsia="標楷體" w:hAnsi="Times New Roman" w:cs="Times New Roman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4C66088"/>
    <w:multiLevelType w:val="hybridMultilevel"/>
    <w:tmpl w:val="B38A3A48"/>
    <w:lvl w:ilvl="0" w:tplc="635AEC7C">
      <w:start w:val="1"/>
      <w:numFmt w:val="ideographLegalTraditional"/>
      <w:lvlText w:val="%1、"/>
      <w:lvlJc w:val="left"/>
      <w:pPr>
        <w:ind w:left="71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7" w15:restartNumberingAfterBreak="0">
    <w:nsid w:val="356E055D"/>
    <w:multiLevelType w:val="hybridMultilevel"/>
    <w:tmpl w:val="1A44F086"/>
    <w:lvl w:ilvl="0" w:tplc="17FA41CC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5554BE"/>
    <w:multiLevelType w:val="hybridMultilevel"/>
    <w:tmpl w:val="3878B15C"/>
    <w:lvl w:ilvl="0" w:tplc="635AEC7C">
      <w:start w:val="1"/>
      <w:numFmt w:val="ideographLegalTraditional"/>
      <w:lvlText w:val="%1、"/>
      <w:lvlJc w:val="left"/>
      <w:pPr>
        <w:ind w:left="71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9" w15:restartNumberingAfterBreak="0">
    <w:nsid w:val="45F80C87"/>
    <w:multiLevelType w:val="hybridMultilevel"/>
    <w:tmpl w:val="96AE2C14"/>
    <w:lvl w:ilvl="0" w:tplc="9A786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D3169C"/>
    <w:multiLevelType w:val="hybridMultilevel"/>
    <w:tmpl w:val="1F4A9BFA"/>
    <w:lvl w:ilvl="0" w:tplc="8EE2D66C">
      <w:start w:val="3"/>
      <w:numFmt w:val="decimal"/>
      <w:lvlText w:val="%1."/>
      <w:lvlJc w:val="left"/>
      <w:pPr>
        <w:ind w:left="10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4D5915C0"/>
    <w:multiLevelType w:val="hybridMultilevel"/>
    <w:tmpl w:val="56C41F68"/>
    <w:lvl w:ilvl="0" w:tplc="04090015">
      <w:start w:val="1"/>
      <w:numFmt w:val="taiwaneseCountingThousand"/>
      <w:lvlText w:val="%1、"/>
      <w:lvlJc w:val="left"/>
      <w:pPr>
        <w:ind w:left="899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2" w15:restartNumberingAfterBreak="0">
    <w:nsid w:val="585D38BE"/>
    <w:multiLevelType w:val="hybridMultilevel"/>
    <w:tmpl w:val="1FB013F8"/>
    <w:lvl w:ilvl="0" w:tplc="9A786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EA40A9"/>
    <w:multiLevelType w:val="hybridMultilevel"/>
    <w:tmpl w:val="88BC0E0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1A8285C"/>
    <w:multiLevelType w:val="hybridMultilevel"/>
    <w:tmpl w:val="13ECB2D4"/>
    <w:lvl w:ilvl="0" w:tplc="3370A0D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E4232B0">
      <w:start w:val="2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8004D6"/>
    <w:multiLevelType w:val="hybridMultilevel"/>
    <w:tmpl w:val="8A684F34"/>
    <w:lvl w:ilvl="0" w:tplc="0409000F">
      <w:start w:val="1"/>
      <w:numFmt w:val="decimal"/>
      <w:lvlText w:val="%1."/>
      <w:lvlJc w:val="left"/>
      <w:pPr>
        <w:ind w:left="13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6" w15:restartNumberingAfterBreak="0">
    <w:nsid w:val="65970DBA"/>
    <w:multiLevelType w:val="hybridMultilevel"/>
    <w:tmpl w:val="879CD73E"/>
    <w:lvl w:ilvl="0" w:tplc="17FA41CC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376F25"/>
    <w:multiLevelType w:val="hybridMultilevel"/>
    <w:tmpl w:val="7986670A"/>
    <w:lvl w:ilvl="0" w:tplc="635AEC7C">
      <w:start w:val="1"/>
      <w:numFmt w:val="ideographLegalTraditional"/>
      <w:lvlText w:val="%1、"/>
      <w:lvlJc w:val="left"/>
      <w:pPr>
        <w:ind w:left="710" w:hanging="720"/>
      </w:pPr>
      <w:rPr>
        <w:rFonts w:hint="default"/>
      </w:rPr>
    </w:lvl>
    <w:lvl w:ilvl="1" w:tplc="5A4EE0A4">
      <w:start w:val="1"/>
      <w:numFmt w:val="taiwaneseCountingThousand"/>
      <w:lvlText w:val="%2、"/>
      <w:lvlJc w:val="left"/>
      <w:pPr>
        <w:ind w:left="95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8" w15:restartNumberingAfterBreak="0">
    <w:nsid w:val="69A93981"/>
    <w:multiLevelType w:val="hybridMultilevel"/>
    <w:tmpl w:val="8D7EAE5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07530A"/>
    <w:multiLevelType w:val="hybridMultilevel"/>
    <w:tmpl w:val="CF045DE4"/>
    <w:lvl w:ilvl="0" w:tplc="04090015">
      <w:start w:val="1"/>
      <w:numFmt w:val="taiwaneseCountingThousand"/>
      <w:lvlText w:val="%1、"/>
      <w:lvlJc w:val="left"/>
      <w:pPr>
        <w:ind w:left="96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0" w15:restartNumberingAfterBreak="0">
    <w:nsid w:val="7FA81DE0"/>
    <w:multiLevelType w:val="hybridMultilevel"/>
    <w:tmpl w:val="B174513E"/>
    <w:lvl w:ilvl="0" w:tplc="04090015">
      <w:start w:val="1"/>
      <w:numFmt w:val="taiwaneseCountingThousand"/>
      <w:lvlText w:val="%1、"/>
      <w:lvlJc w:val="left"/>
      <w:pPr>
        <w:ind w:left="96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20"/>
  </w:num>
  <w:num w:numId="10">
    <w:abstractNumId w:val="19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17"/>
  </w:num>
  <w:num w:numId="16">
    <w:abstractNumId w:val="6"/>
  </w:num>
  <w:num w:numId="17">
    <w:abstractNumId w:val="18"/>
  </w:num>
  <w:num w:numId="18">
    <w:abstractNumId w:val="9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48"/>
    <w:rsid w:val="000A14E3"/>
    <w:rsid w:val="000E58F0"/>
    <w:rsid w:val="000E77C3"/>
    <w:rsid w:val="00121C60"/>
    <w:rsid w:val="00144C82"/>
    <w:rsid w:val="0018356C"/>
    <w:rsid w:val="00196632"/>
    <w:rsid w:val="0020392B"/>
    <w:rsid w:val="002219D4"/>
    <w:rsid w:val="0025579B"/>
    <w:rsid w:val="003F2AF0"/>
    <w:rsid w:val="00404741"/>
    <w:rsid w:val="004231C3"/>
    <w:rsid w:val="00465868"/>
    <w:rsid w:val="004A398C"/>
    <w:rsid w:val="004B42AF"/>
    <w:rsid w:val="004F249F"/>
    <w:rsid w:val="0053025C"/>
    <w:rsid w:val="005377FA"/>
    <w:rsid w:val="00572CC5"/>
    <w:rsid w:val="00591640"/>
    <w:rsid w:val="00653334"/>
    <w:rsid w:val="006576CE"/>
    <w:rsid w:val="006A4E3D"/>
    <w:rsid w:val="0077545B"/>
    <w:rsid w:val="00795570"/>
    <w:rsid w:val="007C447F"/>
    <w:rsid w:val="00800E1A"/>
    <w:rsid w:val="00812B67"/>
    <w:rsid w:val="008D035B"/>
    <w:rsid w:val="00975CF3"/>
    <w:rsid w:val="009C29A2"/>
    <w:rsid w:val="009D370C"/>
    <w:rsid w:val="009F0F02"/>
    <w:rsid w:val="00A06A40"/>
    <w:rsid w:val="00A26945"/>
    <w:rsid w:val="00A87504"/>
    <w:rsid w:val="00A97628"/>
    <w:rsid w:val="00AD4BB1"/>
    <w:rsid w:val="00B521D5"/>
    <w:rsid w:val="00B94BD1"/>
    <w:rsid w:val="00C20404"/>
    <w:rsid w:val="00C23D9C"/>
    <w:rsid w:val="00C36412"/>
    <w:rsid w:val="00C761F7"/>
    <w:rsid w:val="00C95308"/>
    <w:rsid w:val="00CA7679"/>
    <w:rsid w:val="00CB4BAD"/>
    <w:rsid w:val="00CD0007"/>
    <w:rsid w:val="00D0476D"/>
    <w:rsid w:val="00D25D4F"/>
    <w:rsid w:val="00D46670"/>
    <w:rsid w:val="00DB23DE"/>
    <w:rsid w:val="00DE6B51"/>
    <w:rsid w:val="00E04B53"/>
    <w:rsid w:val="00E43F47"/>
    <w:rsid w:val="00E96CB8"/>
    <w:rsid w:val="00E96FE7"/>
    <w:rsid w:val="00F877D3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2BD73"/>
  <w15:docId w15:val="{A468FECE-7795-4D01-AC97-D0165330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48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1148"/>
    <w:pPr>
      <w:ind w:left="720" w:hangingChars="300" w:hanging="720"/>
    </w:pPr>
    <w:rPr>
      <w:rFonts w:eastAsia="新細明體"/>
      <w:kern w:val="0"/>
      <w:sz w:val="20"/>
      <w:lang w:val="x-none" w:eastAsia="x-none"/>
    </w:rPr>
  </w:style>
  <w:style w:type="character" w:customStyle="1" w:styleId="a4">
    <w:name w:val="本文縮排 字元"/>
    <w:basedOn w:val="a0"/>
    <w:link w:val="a3"/>
    <w:rsid w:val="00F91148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91148"/>
    <w:pPr>
      <w:ind w:leftChars="200" w:left="480"/>
    </w:pPr>
    <w:rPr>
      <w:rFonts w:eastAsia="新細明體"/>
      <w:sz w:val="24"/>
    </w:rPr>
  </w:style>
  <w:style w:type="character" w:styleId="a6">
    <w:name w:val="Hyperlink"/>
    <w:basedOn w:val="a0"/>
    <w:uiPriority w:val="99"/>
    <w:unhideWhenUsed/>
    <w:rsid w:val="00E43F47"/>
    <w:rPr>
      <w:color w:val="0000FF" w:themeColor="hyperlink"/>
      <w:u w:val="single"/>
    </w:rPr>
  </w:style>
  <w:style w:type="paragraph" w:customStyle="1" w:styleId="Default">
    <w:name w:val="Default"/>
    <w:rsid w:val="00A875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footnote text"/>
    <w:basedOn w:val="a"/>
    <w:link w:val="a8"/>
    <w:semiHidden/>
    <w:rsid w:val="00CB4BAD"/>
    <w:pPr>
      <w:snapToGrid w:val="0"/>
    </w:pPr>
    <w:rPr>
      <w:rFonts w:eastAsia="新細明體"/>
      <w:sz w:val="20"/>
      <w:szCs w:val="20"/>
    </w:rPr>
  </w:style>
  <w:style w:type="character" w:customStyle="1" w:styleId="a8">
    <w:name w:val="註腳文字 字元"/>
    <w:basedOn w:val="a0"/>
    <w:link w:val="a7"/>
    <w:semiHidden/>
    <w:rsid w:val="00CB4BAD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semiHidden/>
    <w:rsid w:val="00CB4BAD"/>
    <w:rPr>
      <w:vertAlign w:val="superscript"/>
    </w:rPr>
  </w:style>
  <w:style w:type="table" w:customStyle="1" w:styleId="1">
    <w:name w:val="表格格線1"/>
    <w:basedOn w:val="a1"/>
    <w:next w:val="aa"/>
    <w:uiPriority w:val="39"/>
    <w:rsid w:val="0053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3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521D5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5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521D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240.179.19/2019MEC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4EF8-772C-4F84-90DC-63A57A11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簡良平-peace</dc:creator>
  <cp:lastModifiedBy>盛 林</cp:lastModifiedBy>
  <cp:revision>4</cp:revision>
  <dcterms:created xsi:type="dcterms:W3CDTF">2018-11-07T01:13:00Z</dcterms:created>
  <dcterms:modified xsi:type="dcterms:W3CDTF">2018-11-13T08:42:00Z</dcterms:modified>
</cp:coreProperties>
</file>